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55" w:rsidRDefault="00667555" w:rsidP="00667555">
      <w:pPr>
        <w:tabs>
          <w:tab w:val="left" w:pos="284"/>
        </w:tabs>
        <w:ind w:right="-285"/>
        <w:jc w:val="right"/>
        <w:rPr>
          <w:b/>
          <w:i/>
          <w:sz w:val="20"/>
          <w:szCs w:val="20"/>
        </w:rPr>
      </w:pPr>
      <w:r>
        <w:rPr>
          <w:b/>
          <w:i/>
          <w:sz w:val="20"/>
          <w:szCs w:val="20"/>
        </w:rPr>
        <w:t>Allegato n. 4</w:t>
      </w:r>
    </w:p>
    <w:p w:rsidR="00667555" w:rsidRDefault="00667555" w:rsidP="00D91AFB">
      <w:pPr>
        <w:autoSpaceDE w:val="0"/>
        <w:autoSpaceDN w:val="0"/>
        <w:adjustRightInd w:val="0"/>
        <w:spacing w:after="0" w:line="240" w:lineRule="auto"/>
        <w:contextualSpacing/>
        <w:jc w:val="both"/>
        <w:rPr>
          <w:rFonts w:ascii="Times New Roman" w:hAnsi="Times New Roman"/>
          <w:b/>
          <w:sz w:val="24"/>
          <w:szCs w:val="24"/>
        </w:rPr>
      </w:pPr>
    </w:p>
    <w:p w:rsidR="00667555" w:rsidRDefault="00667555" w:rsidP="00D91AFB">
      <w:pPr>
        <w:autoSpaceDE w:val="0"/>
        <w:autoSpaceDN w:val="0"/>
        <w:adjustRightInd w:val="0"/>
        <w:spacing w:after="0" w:line="240" w:lineRule="auto"/>
        <w:contextualSpacing/>
        <w:jc w:val="both"/>
        <w:rPr>
          <w:rFonts w:ascii="Times New Roman" w:hAnsi="Times New Roman"/>
          <w:b/>
          <w:sz w:val="24"/>
          <w:szCs w:val="24"/>
        </w:rPr>
      </w:pPr>
    </w:p>
    <w:p w:rsidR="00667555" w:rsidRDefault="00667555" w:rsidP="00D91AFB">
      <w:pPr>
        <w:autoSpaceDE w:val="0"/>
        <w:autoSpaceDN w:val="0"/>
        <w:adjustRightInd w:val="0"/>
        <w:spacing w:after="0" w:line="240" w:lineRule="auto"/>
        <w:contextualSpacing/>
        <w:jc w:val="both"/>
        <w:rPr>
          <w:rFonts w:ascii="Times New Roman" w:hAnsi="Times New Roman"/>
          <w:b/>
          <w:sz w:val="24"/>
          <w:szCs w:val="24"/>
        </w:rPr>
      </w:pPr>
    </w:p>
    <w:p w:rsidR="00D84F6B" w:rsidRPr="002C0803" w:rsidRDefault="00D84F6B" w:rsidP="00D91AFB">
      <w:pPr>
        <w:autoSpaceDE w:val="0"/>
        <w:autoSpaceDN w:val="0"/>
        <w:adjustRightInd w:val="0"/>
        <w:spacing w:after="0" w:line="240" w:lineRule="auto"/>
        <w:contextualSpacing/>
        <w:jc w:val="both"/>
        <w:rPr>
          <w:rFonts w:ascii="Times New Roman" w:hAnsi="Times New Roman"/>
          <w:b/>
          <w:bCs/>
          <w:sz w:val="24"/>
          <w:szCs w:val="24"/>
        </w:rPr>
      </w:pPr>
      <w:r w:rsidRPr="00D91AFB">
        <w:rPr>
          <w:rFonts w:ascii="Times New Roman" w:hAnsi="Times New Roman"/>
          <w:b/>
          <w:sz w:val="24"/>
          <w:szCs w:val="24"/>
        </w:rPr>
        <w:t xml:space="preserve">PRINCIPIO CONTABILE APPLICATO CONCERNENTE </w:t>
      </w:r>
      <w:r>
        <w:rPr>
          <w:rFonts w:ascii="Times New Roman" w:hAnsi="Times New Roman"/>
          <w:b/>
          <w:bCs/>
          <w:sz w:val="24"/>
          <w:szCs w:val="24"/>
        </w:rPr>
        <w:t>IL BILANCIO CONSOLIDATO</w:t>
      </w:r>
    </w:p>
    <w:p w:rsidR="00D84F6B" w:rsidRPr="002C0803" w:rsidRDefault="00D84F6B" w:rsidP="002C0803">
      <w:pPr>
        <w:spacing w:line="240" w:lineRule="auto"/>
        <w:contextualSpacing/>
        <w:jc w:val="both"/>
        <w:rPr>
          <w:rFonts w:ascii="Times New Roman" w:hAnsi="Times New Roman"/>
          <w:b/>
          <w:bCs/>
          <w:sz w:val="24"/>
          <w:szCs w:val="24"/>
        </w:rPr>
      </w:pPr>
    </w:p>
    <w:p w:rsidR="00D84F6B" w:rsidRPr="00F8246B" w:rsidRDefault="00D84F6B" w:rsidP="009E56E2">
      <w:pPr>
        <w:pStyle w:val="Paragrafoelenco"/>
        <w:numPr>
          <w:ilvl w:val="0"/>
          <w:numId w:val="1"/>
        </w:numPr>
        <w:tabs>
          <w:tab w:val="left" w:pos="284"/>
        </w:tabs>
        <w:spacing w:line="240" w:lineRule="auto"/>
        <w:ind w:left="0" w:firstLine="0"/>
        <w:jc w:val="both"/>
        <w:rPr>
          <w:rFonts w:ascii="Times New Roman" w:hAnsi="Times New Roman"/>
          <w:sz w:val="24"/>
          <w:szCs w:val="24"/>
        </w:rPr>
      </w:pPr>
      <w:r w:rsidRPr="002C0803">
        <w:rPr>
          <w:rFonts w:ascii="Times New Roman" w:hAnsi="Times New Roman"/>
          <w:b/>
          <w:bCs/>
          <w:sz w:val="24"/>
          <w:szCs w:val="24"/>
        </w:rPr>
        <w:t>Definizione</w:t>
      </w:r>
      <w:r>
        <w:rPr>
          <w:rFonts w:ascii="Times New Roman" w:hAnsi="Times New Roman"/>
          <w:b/>
          <w:bCs/>
          <w:sz w:val="24"/>
          <w:szCs w:val="24"/>
        </w:rPr>
        <w:t xml:space="preserve"> e funzione del bilancio consolidato</w:t>
      </w:r>
      <w:r w:rsidR="00F56A79">
        <w:rPr>
          <w:rFonts w:ascii="Times New Roman" w:hAnsi="Times New Roman"/>
          <w:b/>
          <w:bCs/>
          <w:sz w:val="24"/>
          <w:szCs w:val="24"/>
        </w:rPr>
        <w:t xml:space="preserve">  del gruppo amministrazione pubblica</w:t>
      </w:r>
    </w:p>
    <w:p w:rsidR="00E81EE0" w:rsidRPr="00E81EE0" w:rsidRDefault="00E81EE0" w:rsidP="00E81EE0">
      <w:pPr>
        <w:pStyle w:val="Paragrafoelenco"/>
        <w:tabs>
          <w:tab w:val="left" w:pos="284"/>
        </w:tabs>
        <w:spacing w:line="240" w:lineRule="auto"/>
        <w:ind w:left="0"/>
        <w:jc w:val="both"/>
        <w:rPr>
          <w:rFonts w:ascii="Times New Roman" w:hAnsi="Times New Roman"/>
          <w:bCs/>
          <w:sz w:val="24"/>
          <w:szCs w:val="24"/>
        </w:rPr>
      </w:pPr>
      <w:r w:rsidRPr="00E81EE0">
        <w:rPr>
          <w:rFonts w:ascii="Times New Roman" w:hAnsi="Times New Roman"/>
          <w:bCs/>
          <w:sz w:val="24"/>
          <w:szCs w:val="24"/>
        </w:rPr>
        <w:t xml:space="preserve">Il bilancio consolidato di un gruppo di enti e società che fa capo ad un’amministrazione pubblica non </w:t>
      </w:r>
      <w:r w:rsidR="00F56A79">
        <w:rPr>
          <w:rFonts w:ascii="Times New Roman" w:hAnsi="Times New Roman"/>
          <w:bCs/>
          <w:sz w:val="24"/>
          <w:szCs w:val="24"/>
        </w:rPr>
        <w:t>consente -</w:t>
      </w:r>
      <w:r w:rsidRPr="00E81EE0">
        <w:rPr>
          <w:rFonts w:ascii="Times New Roman" w:hAnsi="Times New Roman"/>
          <w:bCs/>
          <w:sz w:val="24"/>
          <w:szCs w:val="24"/>
        </w:rPr>
        <w:t xml:space="preserve"> contemporaneamente </w:t>
      </w:r>
      <w:r w:rsidR="00F56A79">
        <w:rPr>
          <w:rFonts w:ascii="Times New Roman" w:hAnsi="Times New Roman"/>
          <w:bCs/>
          <w:sz w:val="24"/>
          <w:szCs w:val="24"/>
        </w:rPr>
        <w:t>-</w:t>
      </w:r>
      <w:r w:rsidRPr="00E81EE0">
        <w:rPr>
          <w:rFonts w:ascii="Times New Roman" w:hAnsi="Times New Roman"/>
          <w:bCs/>
          <w:sz w:val="24"/>
          <w:szCs w:val="24"/>
        </w:rPr>
        <w:t xml:space="preserve"> di rappresenta</w:t>
      </w:r>
      <w:r w:rsidR="00F56A79">
        <w:rPr>
          <w:rFonts w:ascii="Times New Roman" w:hAnsi="Times New Roman"/>
          <w:bCs/>
          <w:sz w:val="24"/>
          <w:szCs w:val="24"/>
        </w:rPr>
        <w:t>re</w:t>
      </w:r>
      <w:r w:rsidRPr="00E81EE0">
        <w:rPr>
          <w:rFonts w:ascii="Times New Roman" w:hAnsi="Times New Roman"/>
          <w:bCs/>
          <w:sz w:val="24"/>
          <w:szCs w:val="24"/>
        </w:rPr>
        <w:t xml:space="preserve"> </w:t>
      </w:r>
      <w:r w:rsidR="00F56A79" w:rsidRPr="00E81EE0">
        <w:rPr>
          <w:rFonts w:ascii="Times New Roman" w:hAnsi="Times New Roman"/>
          <w:bCs/>
          <w:sz w:val="24"/>
          <w:szCs w:val="24"/>
        </w:rPr>
        <w:t xml:space="preserve">la </w:t>
      </w:r>
      <w:r w:rsidRPr="00E81EE0">
        <w:rPr>
          <w:rFonts w:ascii="Times New Roman" w:hAnsi="Times New Roman"/>
          <w:bCs/>
          <w:sz w:val="24"/>
          <w:szCs w:val="24"/>
        </w:rPr>
        <w:t xml:space="preserve">consistenza patrimoniale e finanziaria del gruppo e </w:t>
      </w:r>
      <w:r w:rsidR="00F56A79">
        <w:rPr>
          <w:rFonts w:ascii="Times New Roman" w:hAnsi="Times New Roman"/>
          <w:bCs/>
          <w:sz w:val="24"/>
          <w:szCs w:val="24"/>
        </w:rPr>
        <w:t xml:space="preserve">di </w:t>
      </w:r>
      <w:r w:rsidRPr="00E81EE0">
        <w:rPr>
          <w:rFonts w:ascii="Times New Roman" w:hAnsi="Times New Roman"/>
          <w:bCs/>
          <w:sz w:val="24"/>
          <w:szCs w:val="24"/>
        </w:rPr>
        <w:t xml:space="preserve">rilevare </w:t>
      </w:r>
      <w:r w:rsidR="000C5D76">
        <w:rPr>
          <w:rFonts w:ascii="Times New Roman" w:hAnsi="Times New Roman"/>
          <w:bCs/>
          <w:sz w:val="24"/>
          <w:szCs w:val="24"/>
        </w:rPr>
        <w:t>correttamente</w:t>
      </w:r>
      <w:r w:rsidRPr="00E81EE0">
        <w:rPr>
          <w:rFonts w:ascii="Times New Roman" w:hAnsi="Times New Roman"/>
          <w:bCs/>
          <w:sz w:val="24"/>
          <w:szCs w:val="24"/>
        </w:rPr>
        <w:t xml:space="preserve"> il fenomeno delle esternalizzazion</w:t>
      </w:r>
      <w:r w:rsidR="00337D4E">
        <w:rPr>
          <w:rFonts w:ascii="Times New Roman" w:hAnsi="Times New Roman"/>
          <w:bCs/>
          <w:sz w:val="24"/>
          <w:szCs w:val="24"/>
        </w:rPr>
        <w:t>i</w:t>
      </w:r>
      <w:r w:rsidRPr="00E81EE0">
        <w:rPr>
          <w:rFonts w:ascii="Times New Roman" w:hAnsi="Times New Roman"/>
          <w:bCs/>
          <w:sz w:val="24"/>
          <w:szCs w:val="24"/>
        </w:rPr>
        <w:t xml:space="preserve">. </w:t>
      </w:r>
    </w:p>
    <w:p w:rsidR="00E81EE0" w:rsidRPr="00E81EE0" w:rsidRDefault="00F56A79" w:rsidP="00E81EE0">
      <w:pPr>
        <w:pStyle w:val="Paragrafoelenco"/>
        <w:tabs>
          <w:tab w:val="left" w:pos="284"/>
        </w:tabs>
        <w:spacing w:line="240" w:lineRule="auto"/>
        <w:ind w:left="0"/>
        <w:jc w:val="both"/>
        <w:rPr>
          <w:rFonts w:ascii="Times New Roman" w:hAnsi="Times New Roman"/>
          <w:bCs/>
          <w:sz w:val="24"/>
          <w:szCs w:val="24"/>
        </w:rPr>
      </w:pPr>
      <w:r>
        <w:rPr>
          <w:rFonts w:ascii="Times New Roman" w:hAnsi="Times New Roman"/>
          <w:bCs/>
          <w:sz w:val="24"/>
          <w:szCs w:val="24"/>
        </w:rPr>
        <w:t>P</w:t>
      </w:r>
      <w:r w:rsidR="00144D88">
        <w:rPr>
          <w:rFonts w:ascii="Times New Roman" w:hAnsi="Times New Roman"/>
          <w:bCs/>
          <w:sz w:val="24"/>
          <w:szCs w:val="24"/>
        </w:rPr>
        <w:t xml:space="preserve">er </w:t>
      </w:r>
      <w:r>
        <w:rPr>
          <w:rFonts w:ascii="Times New Roman" w:hAnsi="Times New Roman"/>
          <w:bCs/>
          <w:sz w:val="24"/>
          <w:szCs w:val="24"/>
        </w:rPr>
        <w:t xml:space="preserve">rappresentare la consistenza patrimoniale e finanziaria </w:t>
      </w:r>
      <w:r w:rsidR="00E81EE0" w:rsidRPr="00E81EE0">
        <w:rPr>
          <w:rFonts w:ascii="Times New Roman" w:hAnsi="Times New Roman"/>
          <w:bCs/>
          <w:sz w:val="24"/>
          <w:szCs w:val="24"/>
        </w:rPr>
        <w:t xml:space="preserve">il bilancio </w:t>
      </w:r>
      <w:r w:rsidR="00522B1E">
        <w:rPr>
          <w:rFonts w:ascii="Times New Roman" w:hAnsi="Times New Roman"/>
          <w:bCs/>
          <w:sz w:val="24"/>
          <w:szCs w:val="24"/>
        </w:rPr>
        <w:t>consolidato</w:t>
      </w:r>
      <w:r w:rsidR="00E81EE0" w:rsidRPr="00E81EE0">
        <w:rPr>
          <w:rFonts w:ascii="Times New Roman" w:hAnsi="Times New Roman"/>
          <w:bCs/>
          <w:sz w:val="24"/>
          <w:szCs w:val="24"/>
        </w:rPr>
        <w:t xml:space="preserve"> predisposto </w:t>
      </w:r>
      <w:r>
        <w:rPr>
          <w:rFonts w:ascii="Times New Roman" w:hAnsi="Times New Roman"/>
          <w:bCs/>
          <w:sz w:val="24"/>
          <w:szCs w:val="24"/>
        </w:rPr>
        <w:t xml:space="preserve">sulla base </w:t>
      </w:r>
      <w:r w:rsidR="00E81EE0" w:rsidRPr="00E81EE0">
        <w:rPr>
          <w:rFonts w:ascii="Times New Roman" w:hAnsi="Times New Roman"/>
          <w:bCs/>
          <w:sz w:val="24"/>
          <w:szCs w:val="24"/>
        </w:rPr>
        <w:t>della dimensione del controllo esercitato nei confronti dei co</w:t>
      </w:r>
      <w:r w:rsidR="00522B1E">
        <w:rPr>
          <w:rFonts w:ascii="Times New Roman" w:hAnsi="Times New Roman"/>
          <w:bCs/>
          <w:sz w:val="24"/>
          <w:szCs w:val="24"/>
        </w:rPr>
        <w:t>mponenti del gruppo, utilizza</w:t>
      </w:r>
      <w:r w:rsidR="00E81EE0" w:rsidRPr="00E81EE0">
        <w:rPr>
          <w:rFonts w:ascii="Times New Roman" w:hAnsi="Times New Roman"/>
          <w:bCs/>
          <w:sz w:val="24"/>
          <w:szCs w:val="24"/>
        </w:rPr>
        <w:t xml:space="preserve"> il metodo </w:t>
      </w:r>
      <w:r w:rsidR="000C5D76">
        <w:rPr>
          <w:rFonts w:ascii="Times New Roman" w:hAnsi="Times New Roman"/>
          <w:bCs/>
          <w:sz w:val="24"/>
          <w:szCs w:val="24"/>
        </w:rPr>
        <w:t xml:space="preserve">di consolidamento </w:t>
      </w:r>
      <w:r w:rsidR="00E81EE0" w:rsidRPr="00E81EE0">
        <w:rPr>
          <w:rFonts w:ascii="Times New Roman" w:hAnsi="Times New Roman"/>
          <w:bCs/>
          <w:sz w:val="24"/>
          <w:szCs w:val="24"/>
        </w:rPr>
        <w:t>integrale o proporzionale</w:t>
      </w:r>
      <w:r w:rsidR="00144D88">
        <w:rPr>
          <w:rFonts w:ascii="Times New Roman" w:hAnsi="Times New Roman"/>
          <w:bCs/>
          <w:sz w:val="24"/>
          <w:szCs w:val="24"/>
        </w:rPr>
        <w:t xml:space="preserve">. </w:t>
      </w:r>
      <w:r>
        <w:rPr>
          <w:rFonts w:ascii="Times New Roman" w:hAnsi="Times New Roman"/>
          <w:bCs/>
          <w:sz w:val="24"/>
          <w:szCs w:val="24"/>
        </w:rPr>
        <w:t xml:space="preserve">Per </w:t>
      </w:r>
      <w:r w:rsidR="00144D88">
        <w:rPr>
          <w:rFonts w:ascii="Times New Roman" w:hAnsi="Times New Roman"/>
          <w:bCs/>
          <w:sz w:val="24"/>
          <w:szCs w:val="24"/>
        </w:rPr>
        <w:t xml:space="preserve">rappresentare le esternalizzazioni, </w:t>
      </w:r>
      <w:r>
        <w:rPr>
          <w:rFonts w:ascii="Times New Roman" w:hAnsi="Times New Roman"/>
          <w:bCs/>
          <w:sz w:val="24"/>
          <w:szCs w:val="24"/>
        </w:rPr>
        <w:t xml:space="preserve">invece, </w:t>
      </w:r>
      <w:r w:rsidR="00E81EE0" w:rsidRPr="00E81EE0">
        <w:rPr>
          <w:rFonts w:ascii="Times New Roman" w:hAnsi="Times New Roman"/>
          <w:bCs/>
          <w:sz w:val="24"/>
          <w:szCs w:val="24"/>
        </w:rPr>
        <w:t xml:space="preserve">il bilancio consolidato è </w:t>
      </w:r>
      <w:r w:rsidR="00144D88">
        <w:rPr>
          <w:rFonts w:ascii="Times New Roman" w:hAnsi="Times New Roman"/>
          <w:bCs/>
          <w:sz w:val="24"/>
          <w:szCs w:val="24"/>
        </w:rPr>
        <w:t xml:space="preserve">elaborato </w:t>
      </w:r>
      <w:r>
        <w:rPr>
          <w:rFonts w:ascii="Times New Roman" w:hAnsi="Times New Roman"/>
          <w:bCs/>
          <w:sz w:val="24"/>
          <w:szCs w:val="24"/>
        </w:rPr>
        <w:t xml:space="preserve">sulla base </w:t>
      </w:r>
      <w:r w:rsidR="00E81EE0" w:rsidRPr="00E81EE0">
        <w:rPr>
          <w:rFonts w:ascii="Times New Roman" w:hAnsi="Times New Roman"/>
          <w:bCs/>
          <w:sz w:val="24"/>
          <w:szCs w:val="24"/>
        </w:rPr>
        <w:t>dell’incidenza</w:t>
      </w:r>
      <w:r w:rsidR="00144D88">
        <w:rPr>
          <w:rFonts w:ascii="Times New Roman" w:hAnsi="Times New Roman"/>
          <w:bCs/>
          <w:sz w:val="24"/>
          <w:szCs w:val="24"/>
        </w:rPr>
        <w:t xml:space="preserve"> </w:t>
      </w:r>
      <w:r w:rsidR="00E81EE0" w:rsidRPr="00E81EE0">
        <w:rPr>
          <w:rFonts w:ascii="Times New Roman" w:hAnsi="Times New Roman"/>
          <w:bCs/>
          <w:sz w:val="24"/>
          <w:szCs w:val="24"/>
        </w:rPr>
        <w:t>dei ricavi imputabili alla controllante rispetto al totale dei ricavi</w:t>
      </w:r>
      <w:r w:rsidR="00144D88">
        <w:rPr>
          <w:rFonts w:ascii="Times New Roman" w:hAnsi="Times New Roman"/>
          <w:bCs/>
          <w:sz w:val="24"/>
          <w:szCs w:val="24"/>
        </w:rPr>
        <w:t xml:space="preserve"> di ciascun componente del gruppo, comprensivi </w:t>
      </w:r>
      <w:r w:rsidR="00E81EE0" w:rsidRPr="00E81EE0">
        <w:rPr>
          <w:rFonts w:ascii="Times New Roman" w:hAnsi="Times New Roman"/>
          <w:bCs/>
          <w:sz w:val="24"/>
          <w:szCs w:val="24"/>
        </w:rPr>
        <w:t xml:space="preserve"> </w:t>
      </w:r>
      <w:r w:rsidR="00144D88">
        <w:rPr>
          <w:rFonts w:ascii="Times New Roman" w:hAnsi="Times New Roman"/>
          <w:bCs/>
          <w:sz w:val="24"/>
          <w:szCs w:val="24"/>
        </w:rPr>
        <w:t>del</w:t>
      </w:r>
      <w:r w:rsidR="00E81EE0" w:rsidRPr="00E81EE0">
        <w:rPr>
          <w:rFonts w:ascii="Times New Roman" w:hAnsi="Times New Roman"/>
          <w:bCs/>
          <w:sz w:val="24"/>
          <w:szCs w:val="24"/>
        </w:rPr>
        <w:t xml:space="preserve">le entrate esternalizzate. </w:t>
      </w:r>
    </w:p>
    <w:p w:rsidR="00E81EE0" w:rsidRPr="00D309C2" w:rsidRDefault="00E81EE0" w:rsidP="00E81EE0">
      <w:pPr>
        <w:pStyle w:val="Paragrafoelenco"/>
        <w:tabs>
          <w:tab w:val="left" w:pos="284"/>
        </w:tabs>
        <w:spacing w:line="240" w:lineRule="auto"/>
        <w:ind w:left="0"/>
        <w:jc w:val="both"/>
        <w:rPr>
          <w:rFonts w:ascii="Times New Roman" w:hAnsi="Times New Roman"/>
          <w:bCs/>
          <w:sz w:val="24"/>
          <w:szCs w:val="24"/>
        </w:rPr>
      </w:pPr>
      <w:r w:rsidRPr="00E81EE0">
        <w:rPr>
          <w:rFonts w:ascii="Times New Roman" w:hAnsi="Times New Roman"/>
          <w:bCs/>
          <w:sz w:val="24"/>
          <w:szCs w:val="24"/>
        </w:rPr>
        <w:t xml:space="preserve">Pertanto, per cogliere entrambi i fenomeni </w:t>
      </w:r>
      <w:r w:rsidR="00522B1E">
        <w:rPr>
          <w:rFonts w:ascii="Times New Roman" w:hAnsi="Times New Roman"/>
          <w:bCs/>
          <w:sz w:val="24"/>
          <w:szCs w:val="24"/>
        </w:rPr>
        <w:t>risulterebbe</w:t>
      </w:r>
      <w:r w:rsidR="00F56A79">
        <w:rPr>
          <w:rFonts w:ascii="Times New Roman" w:hAnsi="Times New Roman"/>
          <w:bCs/>
          <w:sz w:val="24"/>
          <w:szCs w:val="24"/>
        </w:rPr>
        <w:t xml:space="preserve"> </w:t>
      </w:r>
      <w:r w:rsidRPr="00E81EE0">
        <w:rPr>
          <w:rFonts w:ascii="Times New Roman" w:hAnsi="Times New Roman"/>
          <w:bCs/>
          <w:sz w:val="24"/>
          <w:szCs w:val="24"/>
        </w:rPr>
        <w:t xml:space="preserve">necessario predisporre due </w:t>
      </w:r>
      <w:r w:rsidR="00F56A79">
        <w:rPr>
          <w:rFonts w:ascii="Times New Roman" w:hAnsi="Times New Roman"/>
          <w:bCs/>
          <w:sz w:val="24"/>
          <w:szCs w:val="24"/>
        </w:rPr>
        <w:t>diversi</w:t>
      </w:r>
      <w:r w:rsidR="00F56A79" w:rsidRPr="00E81EE0">
        <w:rPr>
          <w:rFonts w:ascii="Times New Roman" w:hAnsi="Times New Roman"/>
          <w:bCs/>
          <w:sz w:val="24"/>
          <w:szCs w:val="24"/>
        </w:rPr>
        <w:t xml:space="preserve"> </w:t>
      </w:r>
      <w:r w:rsidRPr="00E81EE0">
        <w:rPr>
          <w:rFonts w:ascii="Times New Roman" w:hAnsi="Times New Roman"/>
          <w:bCs/>
          <w:sz w:val="24"/>
          <w:szCs w:val="24"/>
        </w:rPr>
        <w:t>bilanci consolidati.</w:t>
      </w:r>
      <w:r>
        <w:rPr>
          <w:rFonts w:ascii="Times New Roman" w:hAnsi="Times New Roman"/>
          <w:bCs/>
          <w:sz w:val="24"/>
          <w:szCs w:val="24"/>
        </w:rPr>
        <w:t xml:space="preserve"> </w:t>
      </w:r>
    </w:p>
    <w:p w:rsidR="00E81EE0" w:rsidRDefault="00E81EE0" w:rsidP="00F8246B">
      <w:pPr>
        <w:pStyle w:val="Paragrafoelenco"/>
        <w:tabs>
          <w:tab w:val="left" w:pos="284"/>
        </w:tabs>
        <w:spacing w:line="240" w:lineRule="auto"/>
        <w:ind w:left="0"/>
        <w:jc w:val="both"/>
        <w:rPr>
          <w:rFonts w:ascii="Times New Roman" w:hAnsi="Times New Roman"/>
          <w:bCs/>
          <w:sz w:val="24"/>
          <w:szCs w:val="24"/>
        </w:rPr>
      </w:pPr>
    </w:p>
    <w:p w:rsidR="00D84F6B" w:rsidRDefault="00D84F6B" w:rsidP="00F8246B">
      <w:pPr>
        <w:pStyle w:val="Paragrafoelenco"/>
        <w:tabs>
          <w:tab w:val="left" w:pos="284"/>
        </w:tabs>
        <w:spacing w:line="240" w:lineRule="auto"/>
        <w:ind w:left="0"/>
        <w:jc w:val="both"/>
        <w:rPr>
          <w:rFonts w:ascii="Times New Roman" w:hAnsi="Times New Roman"/>
          <w:bCs/>
          <w:sz w:val="24"/>
          <w:szCs w:val="24"/>
        </w:rPr>
      </w:pPr>
      <w:r>
        <w:rPr>
          <w:rFonts w:ascii="Times New Roman" w:hAnsi="Times New Roman"/>
          <w:bCs/>
          <w:sz w:val="24"/>
          <w:szCs w:val="24"/>
        </w:rPr>
        <w:t xml:space="preserve">Gli enti che partecipano alla sperimentazione di cui all’articolo 36 del decreto legislativo </w:t>
      </w:r>
      <w:r w:rsidR="00ED40BB">
        <w:t>23 giugno</w:t>
      </w:r>
      <w:r w:rsidR="00ED40BB" w:rsidRPr="00820105">
        <w:t xml:space="preserve"> 2011 n. </w:t>
      </w:r>
      <w:r w:rsidR="00ED40BB">
        <w:t>118</w:t>
      </w:r>
      <w:r>
        <w:rPr>
          <w:rFonts w:ascii="Times New Roman" w:hAnsi="Times New Roman"/>
          <w:bCs/>
          <w:sz w:val="24"/>
          <w:szCs w:val="24"/>
        </w:rPr>
        <w:t>, redigono un bilancio consolidato che rappresenti in modo veritiero e corretto  la situazione finanziaria e patrimoniale e il risultato economico della complessiva attività svolta dall’ente attraverso le proprie articolazioni organizzative, i suoi enti strumentali e le sue società controllate e partecipate.</w:t>
      </w:r>
    </w:p>
    <w:p w:rsidR="00D84F6B" w:rsidRPr="001F39ED" w:rsidRDefault="00D84F6B" w:rsidP="00F8246B">
      <w:pPr>
        <w:pStyle w:val="Paragrafoelenco"/>
        <w:tabs>
          <w:tab w:val="left" w:pos="284"/>
        </w:tabs>
        <w:spacing w:line="240" w:lineRule="auto"/>
        <w:ind w:left="0"/>
        <w:jc w:val="both"/>
        <w:rPr>
          <w:rFonts w:ascii="Times New Roman" w:hAnsi="Times New Roman"/>
          <w:bCs/>
          <w:sz w:val="24"/>
          <w:szCs w:val="24"/>
        </w:rPr>
      </w:pPr>
      <w:r w:rsidRPr="001F39ED">
        <w:rPr>
          <w:rFonts w:ascii="Times New Roman" w:hAnsi="Times New Roman"/>
          <w:bCs/>
          <w:sz w:val="24"/>
          <w:szCs w:val="24"/>
        </w:rPr>
        <w:t xml:space="preserve">In particolare, il bilancio consolidato </w:t>
      </w:r>
      <w:r w:rsidR="00E81EE0">
        <w:rPr>
          <w:rFonts w:ascii="Times New Roman" w:hAnsi="Times New Roman"/>
          <w:bCs/>
          <w:sz w:val="24"/>
          <w:szCs w:val="24"/>
        </w:rPr>
        <w:t>deve consentire</w:t>
      </w:r>
      <w:r w:rsidRPr="001F39ED">
        <w:rPr>
          <w:rFonts w:ascii="Times New Roman" w:hAnsi="Times New Roman"/>
          <w:bCs/>
          <w:sz w:val="24"/>
          <w:szCs w:val="24"/>
        </w:rPr>
        <w:t xml:space="preserve"> di:</w:t>
      </w:r>
    </w:p>
    <w:p w:rsidR="004E080C" w:rsidRPr="004E080C" w:rsidRDefault="00D84F6B" w:rsidP="004E080C">
      <w:pPr>
        <w:pStyle w:val="Paragrafoelenco"/>
        <w:numPr>
          <w:ilvl w:val="0"/>
          <w:numId w:val="3"/>
        </w:numPr>
        <w:tabs>
          <w:tab w:val="left" w:pos="284"/>
        </w:tabs>
        <w:spacing w:line="240" w:lineRule="auto"/>
        <w:jc w:val="both"/>
        <w:rPr>
          <w:rFonts w:ascii="Times New Roman" w:hAnsi="Times New Roman"/>
          <w:bCs/>
          <w:sz w:val="24"/>
          <w:szCs w:val="24"/>
        </w:rPr>
      </w:pPr>
      <w:r w:rsidRPr="004E080C">
        <w:rPr>
          <w:rFonts w:ascii="Times New Roman" w:hAnsi="Times New Roman"/>
          <w:bCs/>
          <w:sz w:val="24"/>
          <w:szCs w:val="24"/>
        </w:rPr>
        <w:t xml:space="preserve"> sopperire alle carenze informative e valutative dei bilanci degli enti che perseguono le proprie funzioni anche attraverso enti strumentali e detengono rilevanti partecipazioni in società</w:t>
      </w:r>
      <w:r w:rsidR="00E81EE0">
        <w:rPr>
          <w:rFonts w:ascii="Times New Roman" w:hAnsi="Times New Roman"/>
          <w:bCs/>
          <w:sz w:val="24"/>
          <w:szCs w:val="24"/>
        </w:rPr>
        <w:t>, dando</w:t>
      </w:r>
      <w:r w:rsidR="004E080C">
        <w:rPr>
          <w:rFonts w:ascii="Times New Roman" w:hAnsi="Times New Roman"/>
          <w:bCs/>
          <w:sz w:val="24"/>
          <w:szCs w:val="24"/>
        </w:rPr>
        <w:t xml:space="preserve"> una rappresentazione, anche di natura contabile, delle proprie scelte di indirizzo, pianificazione e controllo;</w:t>
      </w:r>
    </w:p>
    <w:p w:rsidR="00D84F6B" w:rsidRPr="001F39ED" w:rsidRDefault="00D84F6B" w:rsidP="00AF0C81">
      <w:pPr>
        <w:pStyle w:val="Paragrafoelenco"/>
        <w:numPr>
          <w:ilvl w:val="0"/>
          <w:numId w:val="3"/>
        </w:numPr>
        <w:tabs>
          <w:tab w:val="left" w:pos="284"/>
        </w:tabs>
        <w:spacing w:line="240" w:lineRule="auto"/>
        <w:jc w:val="both"/>
        <w:rPr>
          <w:rFonts w:ascii="Times New Roman" w:hAnsi="Times New Roman"/>
          <w:bCs/>
          <w:sz w:val="24"/>
          <w:szCs w:val="24"/>
        </w:rPr>
      </w:pPr>
      <w:r w:rsidRPr="004E080C">
        <w:rPr>
          <w:rFonts w:ascii="Times New Roman" w:hAnsi="Times New Roman"/>
          <w:bCs/>
          <w:sz w:val="24"/>
          <w:szCs w:val="24"/>
        </w:rPr>
        <w:t xml:space="preserve">attribuire alla amministrazione capogruppo un nuovo strumento per programmare, gestire e controllare con maggiore efficacia il proprio gruppo </w:t>
      </w:r>
      <w:r w:rsidR="009614BA">
        <w:rPr>
          <w:rFonts w:ascii="Times New Roman" w:hAnsi="Times New Roman"/>
          <w:bCs/>
          <w:sz w:val="24"/>
          <w:szCs w:val="24"/>
        </w:rPr>
        <w:t xml:space="preserve">comprensivo </w:t>
      </w:r>
      <w:r w:rsidRPr="004E080C">
        <w:rPr>
          <w:rFonts w:ascii="Times New Roman" w:hAnsi="Times New Roman"/>
          <w:bCs/>
          <w:sz w:val="24"/>
          <w:szCs w:val="24"/>
        </w:rPr>
        <w:t>di enti e società.</w:t>
      </w:r>
    </w:p>
    <w:p w:rsidR="00D84F6B" w:rsidRPr="001F39ED" w:rsidRDefault="00D84F6B" w:rsidP="004E080C">
      <w:pPr>
        <w:pStyle w:val="Paragrafoelenco"/>
        <w:numPr>
          <w:ilvl w:val="0"/>
          <w:numId w:val="3"/>
        </w:numPr>
        <w:tabs>
          <w:tab w:val="left" w:pos="284"/>
        </w:tabs>
        <w:spacing w:line="240" w:lineRule="auto"/>
        <w:jc w:val="both"/>
        <w:rPr>
          <w:rFonts w:ascii="Times New Roman" w:hAnsi="Times New Roman"/>
          <w:bCs/>
          <w:sz w:val="24"/>
          <w:szCs w:val="24"/>
        </w:rPr>
      </w:pPr>
      <w:r w:rsidRPr="001F39ED">
        <w:rPr>
          <w:rFonts w:ascii="Times New Roman" w:hAnsi="Times New Roman"/>
          <w:bCs/>
          <w:sz w:val="24"/>
          <w:szCs w:val="24"/>
        </w:rPr>
        <w:t xml:space="preserve">ottenere una visione </w:t>
      </w:r>
      <w:r>
        <w:rPr>
          <w:rFonts w:ascii="Times New Roman" w:hAnsi="Times New Roman"/>
          <w:bCs/>
          <w:sz w:val="24"/>
          <w:szCs w:val="24"/>
        </w:rPr>
        <w:t xml:space="preserve">completa </w:t>
      </w:r>
      <w:r w:rsidRPr="001F39ED">
        <w:rPr>
          <w:rFonts w:ascii="Times New Roman" w:hAnsi="Times New Roman"/>
          <w:bCs/>
          <w:sz w:val="24"/>
          <w:szCs w:val="24"/>
        </w:rPr>
        <w:t xml:space="preserve"> delle consistenze </w:t>
      </w:r>
      <w:r>
        <w:rPr>
          <w:rFonts w:ascii="Times New Roman" w:hAnsi="Times New Roman"/>
          <w:bCs/>
          <w:sz w:val="24"/>
          <w:szCs w:val="24"/>
        </w:rPr>
        <w:t xml:space="preserve">patrimoniali e finanziarie </w:t>
      </w:r>
      <w:r w:rsidR="004E080C">
        <w:rPr>
          <w:rFonts w:ascii="Times New Roman" w:hAnsi="Times New Roman"/>
          <w:bCs/>
          <w:sz w:val="24"/>
          <w:szCs w:val="24"/>
        </w:rPr>
        <w:t xml:space="preserve">di </w:t>
      </w:r>
      <w:r>
        <w:rPr>
          <w:rFonts w:ascii="Times New Roman" w:hAnsi="Times New Roman"/>
          <w:bCs/>
          <w:sz w:val="24"/>
          <w:szCs w:val="24"/>
        </w:rPr>
        <w:t>un</w:t>
      </w:r>
      <w:r w:rsidR="004E080C">
        <w:rPr>
          <w:rFonts w:ascii="Times New Roman" w:hAnsi="Times New Roman"/>
          <w:bCs/>
          <w:sz w:val="24"/>
          <w:szCs w:val="24"/>
        </w:rPr>
        <w:t xml:space="preserve"> gruppo di enti e società che fa capo ad un</w:t>
      </w:r>
      <w:r>
        <w:rPr>
          <w:rFonts w:ascii="Times New Roman" w:hAnsi="Times New Roman"/>
          <w:bCs/>
          <w:sz w:val="24"/>
          <w:szCs w:val="24"/>
        </w:rPr>
        <w:t>’amministrazione pubblica</w:t>
      </w:r>
      <w:r w:rsidR="004E080C">
        <w:rPr>
          <w:rFonts w:ascii="Times New Roman" w:hAnsi="Times New Roman"/>
          <w:bCs/>
          <w:sz w:val="24"/>
          <w:szCs w:val="24"/>
        </w:rPr>
        <w:t>,  incluso il risultato economico.</w:t>
      </w:r>
    </w:p>
    <w:p w:rsidR="00E81EE0" w:rsidRDefault="00E81EE0" w:rsidP="00F8246B">
      <w:pPr>
        <w:pStyle w:val="Paragrafoelenco"/>
        <w:tabs>
          <w:tab w:val="left" w:pos="284"/>
        </w:tabs>
        <w:spacing w:line="240" w:lineRule="auto"/>
        <w:ind w:left="0"/>
        <w:jc w:val="both"/>
        <w:rPr>
          <w:rFonts w:ascii="Times New Roman" w:hAnsi="Times New Roman"/>
          <w:bCs/>
          <w:sz w:val="24"/>
          <w:szCs w:val="24"/>
        </w:rPr>
      </w:pPr>
    </w:p>
    <w:p w:rsidR="00D84F6B" w:rsidRDefault="00D84F6B" w:rsidP="00F8246B">
      <w:pPr>
        <w:pStyle w:val="Paragrafoelenco"/>
        <w:tabs>
          <w:tab w:val="left" w:pos="284"/>
        </w:tabs>
        <w:spacing w:line="240" w:lineRule="auto"/>
        <w:ind w:left="0"/>
        <w:jc w:val="both"/>
        <w:rPr>
          <w:rFonts w:ascii="Times New Roman" w:hAnsi="Times New Roman"/>
          <w:bCs/>
          <w:sz w:val="24"/>
          <w:szCs w:val="24"/>
        </w:rPr>
      </w:pPr>
      <w:r>
        <w:rPr>
          <w:rFonts w:ascii="Times New Roman" w:hAnsi="Times New Roman"/>
          <w:bCs/>
          <w:sz w:val="24"/>
          <w:szCs w:val="24"/>
        </w:rPr>
        <w:t>Il bilancio consolidato del gruppo di un’amministrazione pubblica</w:t>
      </w:r>
      <w:r w:rsidR="00D643E8">
        <w:rPr>
          <w:rFonts w:ascii="Times New Roman" w:hAnsi="Times New Roman"/>
          <w:bCs/>
          <w:sz w:val="24"/>
          <w:szCs w:val="24"/>
        </w:rPr>
        <w:t xml:space="preserve"> è</w:t>
      </w:r>
      <w:r>
        <w:rPr>
          <w:rFonts w:ascii="Times New Roman" w:hAnsi="Times New Roman"/>
          <w:bCs/>
          <w:sz w:val="24"/>
          <w:szCs w:val="24"/>
        </w:rPr>
        <w:t>:</w:t>
      </w:r>
    </w:p>
    <w:p w:rsidR="00D84F6B" w:rsidRDefault="00D643E8" w:rsidP="006D2857">
      <w:pPr>
        <w:pStyle w:val="Paragrafoelenco"/>
        <w:tabs>
          <w:tab w:val="left" w:pos="284"/>
        </w:tabs>
        <w:spacing w:line="240" w:lineRule="auto"/>
        <w:ind w:left="0"/>
        <w:jc w:val="both"/>
        <w:rPr>
          <w:rFonts w:ascii="Times New Roman" w:hAnsi="Times New Roman"/>
          <w:bCs/>
          <w:sz w:val="24"/>
          <w:szCs w:val="24"/>
        </w:rPr>
      </w:pPr>
      <w:r>
        <w:rPr>
          <w:rFonts w:ascii="Times New Roman" w:hAnsi="Times New Roman"/>
          <w:bCs/>
          <w:sz w:val="24"/>
          <w:szCs w:val="24"/>
        </w:rPr>
        <w:t xml:space="preserve">- </w:t>
      </w:r>
      <w:r w:rsidR="00D84F6B">
        <w:rPr>
          <w:rFonts w:ascii="Times New Roman" w:hAnsi="Times New Roman"/>
          <w:bCs/>
          <w:sz w:val="24"/>
          <w:szCs w:val="24"/>
        </w:rPr>
        <w:t>obbligatorio</w:t>
      </w:r>
      <w:r w:rsidR="009E1D85">
        <w:rPr>
          <w:rFonts w:ascii="Times New Roman" w:hAnsi="Times New Roman"/>
          <w:bCs/>
          <w:sz w:val="24"/>
          <w:szCs w:val="24"/>
        </w:rPr>
        <w:t>, dal 2013,</w:t>
      </w:r>
      <w:r w:rsidR="00D84F6B">
        <w:rPr>
          <w:rFonts w:ascii="Times New Roman" w:hAnsi="Times New Roman"/>
          <w:bCs/>
          <w:sz w:val="24"/>
          <w:szCs w:val="24"/>
        </w:rPr>
        <w:t xml:space="preserve"> per tutti gli enti in sperimentazione, esclusi i comuni con popolazione inferiore ai 5.000 abitanti;</w:t>
      </w:r>
    </w:p>
    <w:p w:rsidR="00D84F6B" w:rsidRDefault="00D643E8" w:rsidP="006836F2">
      <w:pPr>
        <w:pStyle w:val="Paragrafoelenco"/>
        <w:tabs>
          <w:tab w:val="left" w:pos="284"/>
        </w:tabs>
        <w:spacing w:line="240" w:lineRule="auto"/>
        <w:ind w:left="142" w:hanging="142"/>
        <w:jc w:val="both"/>
        <w:rPr>
          <w:rFonts w:ascii="Times New Roman" w:hAnsi="Times New Roman"/>
          <w:bCs/>
          <w:sz w:val="24"/>
          <w:szCs w:val="24"/>
        </w:rPr>
      </w:pPr>
      <w:r>
        <w:rPr>
          <w:rFonts w:ascii="Times New Roman" w:hAnsi="Times New Roman"/>
          <w:bCs/>
          <w:sz w:val="24"/>
          <w:szCs w:val="24"/>
        </w:rPr>
        <w:t xml:space="preserve">- </w:t>
      </w:r>
      <w:r w:rsidR="00D84F6B" w:rsidRPr="001F39ED">
        <w:rPr>
          <w:rFonts w:ascii="Times New Roman" w:hAnsi="Times New Roman"/>
          <w:bCs/>
          <w:sz w:val="24"/>
          <w:szCs w:val="24"/>
        </w:rPr>
        <w:t>predisposto in attuazione delle disposizioni di cui al titolo IV del presente d</w:t>
      </w:r>
      <w:r w:rsidR="00D84F6B">
        <w:rPr>
          <w:rFonts w:ascii="Times New Roman" w:hAnsi="Times New Roman"/>
          <w:bCs/>
          <w:sz w:val="24"/>
          <w:szCs w:val="24"/>
        </w:rPr>
        <w:t>ecreto e del presente principio;</w:t>
      </w:r>
    </w:p>
    <w:p w:rsidR="00D84F6B" w:rsidRDefault="00D643E8" w:rsidP="006836F2">
      <w:pPr>
        <w:pStyle w:val="Paragrafoelenco"/>
        <w:tabs>
          <w:tab w:val="left" w:pos="284"/>
        </w:tabs>
        <w:spacing w:line="240" w:lineRule="auto"/>
        <w:ind w:left="142" w:hanging="142"/>
        <w:jc w:val="both"/>
        <w:rPr>
          <w:rFonts w:ascii="Times New Roman" w:hAnsi="Times New Roman"/>
          <w:bCs/>
          <w:sz w:val="24"/>
          <w:szCs w:val="24"/>
        </w:rPr>
      </w:pPr>
      <w:r>
        <w:rPr>
          <w:rFonts w:ascii="Times New Roman" w:hAnsi="Times New Roman"/>
          <w:bCs/>
          <w:sz w:val="24"/>
          <w:szCs w:val="24"/>
        </w:rPr>
        <w:t xml:space="preserve">- </w:t>
      </w:r>
      <w:r w:rsidR="00D84F6B">
        <w:rPr>
          <w:rFonts w:ascii="Times New Roman" w:hAnsi="Times New Roman"/>
          <w:bCs/>
          <w:sz w:val="24"/>
          <w:szCs w:val="24"/>
        </w:rPr>
        <w:t>composto dal conto economico, dallo stato patrimoniale e dai relativi allegati;</w:t>
      </w:r>
    </w:p>
    <w:p w:rsidR="00D84F6B" w:rsidRDefault="00D84F6B" w:rsidP="006836F2">
      <w:pPr>
        <w:pStyle w:val="Paragrafoelenco"/>
        <w:tabs>
          <w:tab w:val="left" w:pos="284"/>
        </w:tabs>
        <w:spacing w:line="240" w:lineRule="auto"/>
        <w:ind w:left="142" w:hanging="142"/>
        <w:jc w:val="both"/>
        <w:rPr>
          <w:rFonts w:ascii="Times New Roman" w:hAnsi="Times New Roman"/>
          <w:bCs/>
          <w:sz w:val="24"/>
          <w:szCs w:val="24"/>
        </w:rPr>
      </w:pPr>
      <w:r>
        <w:rPr>
          <w:rFonts w:ascii="Times New Roman" w:hAnsi="Times New Roman"/>
          <w:bCs/>
          <w:sz w:val="24"/>
          <w:szCs w:val="24"/>
        </w:rPr>
        <w:t xml:space="preserve">- riferito alla data di chiusura del 31 dicembre di ciascuno degli  anni </w:t>
      </w:r>
      <w:r w:rsidR="00E81EE0">
        <w:rPr>
          <w:rFonts w:ascii="Times New Roman" w:hAnsi="Times New Roman"/>
          <w:bCs/>
          <w:sz w:val="24"/>
          <w:szCs w:val="24"/>
        </w:rPr>
        <w:t xml:space="preserve">di </w:t>
      </w:r>
      <w:r>
        <w:rPr>
          <w:rFonts w:ascii="Times New Roman" w:hAnsi="Times New Roman"/>
          <w:bCs/>
          <w:sz w:val="24"/>
          <w:szCs w:val="24"/>
        </w:rPr>
        <w:t xml:space="preserve"> sperimentazione;</w:t>
      </w:r>
    </w:p>
    <w:p w:rsidR="00D84F6B" w:rsidRDefault="00D643E8" w:rsidP="006836F2">
      <w:pPr>
        <w:pStyle w:val="Paragrafoelenco"/>
        <w:tabs>
          <w:tab w:val="left" w:pos="284"/>
        </w:tabs>
        <w:spacing w:line="240" w:lineRule="auto"/>
        <w:ind w:left="142" w:hanging="142"/>
        <w:jc w:val="both"/>
        <w:rPr>
          <w:rFonts w:ascii="Times New Roman" w:hAnsi="Times New Roman"/>
          <w:sz w:val="24"/>
          <w:szCs w:val="24"/>
        </w:rPr>
      </w:pPr>
      <w:r>
        <w:rPr>
          <w:rFonts w:ascii="Times New Roman" w:hAnsi="Times New Roman"/>
          <w:bCs/>
          <w:sz w:val="24"/>
          <w:szCs w:val="24"/>
        </w:rPr>
        <w:t xml:space="preserve">- </w:t>
      </w:r>
      <w:r w:rsidR="00D84F6B">
        <w:rPr>
          <w:rFonts w:ascii="Times New Roman" w:hAnsi="Times New Roman"/>
          <w:sz w:val="24"/>
          <w:szCs w:val="24"/>
        </w:rPr>
        <w:t>predisposto facendo riferimento all’area di consolidamento</w:t>
      </w:r>
      <w:r w:rsidR="00381106">
        <w:rPr>
          <w:rFonts w:ascii="Times New Roman" w:hAnsi="Times New Roman"/>
          <w:sz w:val="24"/>
          <w:szCs w:val="24"/>
        </w:rPr>
        <w:t>,</w:t>
      </w:r>
      <w:r w:rsidR="00D84F6B">
        <w:rPr>
          <w:rFonts w:ascii="Times New Roman" w:hAnsi="Times New Roman"/>
          <w:sz w:val="24"/>
          <w:szCs w:val="24"/>
        </w:rPr>
        <w:t xml:space="preserve"> </w:t>
      </w:r>
      <w:r w:rsidR="00381106">
        <w:rPr>
          <w:rFonts w:ascii="Times New Roman" w:hAnsi="Times New Roman"/>
          <w:sz w:val="24"/>
          <w:szCs w:val="24"/>
        </w:rPr>
        <w:t>individuata dall’ente capogruppo,</w:t>
      </w:r>
      <w:r w:rsidR="00D84F6B">
        <w:rPr>
          <w:rFonts w:ascii="Times New Roman" w:hAnsi="Times New Roman"/>
          <w:sz w:val="24"/>
          <w:szCs w:val="24"/>
        </w:rPr>
        <w:t xml:space="preserve"> alla data del 31 dicembre dell’esercizio cui si riferisce;</w:t>
      </w:r>
    </w:p>
    <w:p w:rsidR="00D84F6B" w:rsidRDefault="00D643E8" w:rsidP="00395C05">
      <w:pPr>
        <w:pStyle w:val="Paragrafoelenco"/>
        <w:tabs>
          <w:tab w:val="left" w:pos="284"/>
        </w:tabs>
        <w:spacing w:line="240" w:lineRule="auto"/>
        <w:ind w:left="142" w:hanging="142"/>
        <w:jc w:val="both"/>
        <w:rPr>
          <w:rFonts w:ascii="Times New Roman" w:hAnsi="Times New Roman"/>
          <w:bCs/>
          <w:sz w:val="24"/>
          <w:szCs w:val="24"/>
        </w:rPr>
      </w:pPr>
      <w:r>
        <w:rPr>
          <w:rFonts w:ascii="Times New Roman" w:hAnsi="Times New Roman"/>
          <w:bCs/>
          <w:sz w:val="24"/>
          <w:szCs w:val="24"/>
        </w:rPr>
        <w:t xml:space="preserve">- </w:t>
      </w:r>
      <w:r w:rsidR="00D84F6B">
        <w:rPr>
          <w:rFonts w:ascii="Times New Roman" w:hAnsi="Times New Roman"/>
          <w:bCs/>
          <w:sz w:val="24"/>
          <w:szCs w:val="24"/>
        </w:rPr>
        <w:t>approvato entro il 30 giugno dell’anno successivo a quello di riferimento.</w:t>
      </w:r>
    </w:p>
    <w:p w:rsidR="00D84F6B" w:rsidRDefault="00D84F6B" w:rsidP="006836F2">
      <w:pPr>
        <w:pStyle w:val="Paragrafoelenco"/>
        <w:tabs>
          <w:tab w:val="left" w:pos="284"/>
        </w:tabs>
        <w:spacing w:line="240" w:lineRule="auto"/>
        <w:ind w:left="142" w:hanging="142"/>
        <w:jc w:val="both"/>
        <w:rPr>
          <w:rFonts w:ascii="Times New Roman" w:hAnsi="Times New Roman"/>
          <w:sz w:val="24"/>
          <w:szCs w:val="24"/>
        </w:rPr>
      </w:pPr>
    </w:p>
    <w:p w:rsidR="00D84F6B" w:rsidRPr="00F8246B" w:rsidRDefault="00D84F6B" w:rsidP="00F8246B">
      <w:pPr>
        <w:pStyle w:val="Paragrafoelenco"/>
        <w:tabs>
          <w:tab w:val="left" w:pos="284"/>
        </w:tabs>
        <w:spacing w:line="240" w:lineRule="auto"/>
        <w:ind w:left="0"/>
        <w:jc w:val="both"/>
        <w:rPr>
          <w:rFonts w:ascii="Times New Roman" w:hAnsi="Times New Roman"/>
          <w:sz w:val="24"/>
          <w:szCs w:val="24"/>
        </w:rPr>
      </w:pPr>
    </w:p>
    <w:p w:rsidR="00D84F6B" w:rsidRDefault="00D84F6B" w:rsidP="009E56E2">
      <w:pPr>
        <w:pStyle w:val="Paragrafoelenco"/>
        <w:numPr>
          <w:ilvl w:val="0"/>
          <w:numId w:val="1"/>
        </w:numPr>
        <w:tabs>
          <w:tab w:val="left" w:pos="284"/>
        </w:tabs>
        <w:spacing w:line="240" w:lineRule="auto"/>
        <w:ind w:left="0" w:firstLine="0"/>
        <w:jc w:val="both"/>
        <w:rPr>
          <w:rFonts w:ascii="Times New Roman" w:hAnsi="Times New Roman"/>
          <w:b/>
          <w:sz w:val="24"/>
          <w:szCs w:val="24"/>
        </w:rPr>
      </w:pPr>
      <w:r w:rsidRPr="000A148A">
        <w:rPr>
          <w:rFonts w:ascii="Times New Roman" w:hAnsi="Times New Roman"/>
          <w:b/>
          <w:sz w:val="24"/>
          <w:szCs w:val="24"/>
        </w:rPr>
        <w:t>Il gruppo “amministrazione pubblica”</w:t>
      </w:r>
    </w:p>
    <w:p w:rsidR="00D84F6B" w:rsidRPr="00794B46" w:rsidRDefault="00D84F6B" w:rsidP="000A148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Il termine “</w:t>
      </w:r>
      <w:r w:rsidR="00381106">
        <w:rPr>
          <w:rFonts w:ascii="Times New Roman" w:hAnsi="Times New Roman"/>
          <w:sz w:val="24"/>
          <w:szCs w:val="24"/>
        </w:rPr>
        <w:t>g</w:t>
      </w:r>
      <w:r>
        <w:rPr>
          <w:rFonts w:ascii="Times New Roman" w:hAnsi="Times New Roman"/>
          <w:sz w:val="24"/>
          <w:szCs w:val="24"/>
        </w:rPr>
        <w:t>ruppo amministrazione pubblica” comprende gli  enti e gli organismi strumentali, le società controllate e partecipate da un’amministrazione pubblica come definito dal titolo IV del presente decreto</w:t>
      </w:r>
      <w:r w:rsidRPr="00794B46">
        <w:rPr>
          <w:rFonts w:ascii="Times New Roman" w:hAnsi="Times New Roman"/>
          <w:sz w:val="24"/>
          <w:szCs w:val="24"/>
        </w:rPr>
        <w:t>.</w:t>
      </w:r>
    </w:p>
    <w:p w:rsidR="00D84F6B" w:rsidRPr="00794B46" w:rsidRDefault="00D84F6B" w:rsidP="000A148A">
      <w:pPr>
        <w:pStyle w:val="Paragrafoelenco"/>
        <w:tabs>
          <w:tab w:val="left" w:pos="284"/>
        </w:tabs>
        <w:spacing w:line="240" w:lineRule="auto"/>
        <w:ind w:left="0"/>
        <w:jc w:val="both"/>
        <w:rPr>
          <w:rFonts w:ascii="Times New Roman" w:hAnsi="Times New Roman"/>
          <w:sz w:val="24"/>
          <w:szCs w:val="24"/>
        </w:rPr>
      </w:pPr>
    </w:p>
    <w:p w:rsidR="00D84F6B" w:rsidRDefault="00D84F6B" w:rsidP="000A148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La definizione del  </w:t>
      </w:r>
      <w:r w:rsidR="00381106">
        <w:rPr>
          <w:rFonts w:ascii="Times New Roman" w:hAnsi="Times New Roman"/>
          <w:sz w:val="24"/>
          <w:szCs w:val="24"/>
        </w:rPr>
        <w:t>g</w:t>
      </w:r>
      <w:r>
        <w:rPr>
          <w:rFonts w:ascii="Times New Roman" w:hAnsi="Times New Roman"/>
          <w:sz w:val="24"/>
          <w:szCs w:val="24"/>
        </w:rPr>
        <w:t xml:space="preserve">ruppo amministrazione pubblica fa riferimento ad una nozione di </w:t>
      </w:r>
      <w:r w:rsidRPr="00AA1FE0">
        <w:rPr>
          <w:rFonts w:ascii="Times New Roman" w:hAnsi="Times New Roman"/>
          <w:b/>
          <w:sz w:val="24"/>
          <w:szCs w:val="24"/>
        </w:rPr>
        <w:t>controllo</w:t>
      </w:r>
      <w:r>
        <w:rPr>
          <w:rFonts w:ascii="Times New Roman" w:hAnsi="Times New Roman"/>
          <w:sz w:val="24"/>
          <w:szCs w:val="24"/>
        </w:rPr>
        <w:t xml:space="preserve"> di “diritto”, di “fatto” e “contrattuale”, anche nei casi in cui non è presente un legame di partecipazione, diretta o indiretta, al capitale delle controllate ed a una nozione di </w:t>
      </w:r>
      <w:r w:rsidRPr="00AA1FE0">
        <w:rPr>
          <w:rFonts w:ascii="Times New Roman" w:hAnsi="Times New Roman"/>
          <w:b/>
          <w:sz w:val="24"/>
          <w:szCs w:val="24"/>
        </w:rPr>
        <w:t>partecipazione</w:t>
      </w:r>
      <w:r>
        <w:rPr>
          <w:rFonts w:ascii="Times New Roman" w:hAnsi="Times New Roman"/>
          <w:sz w:val="24"/>
          <w:szCs w:val="24"/>
        </w:rPr>
        <w:t>.</w:t>
      </w:r>
    </w:p>
    <w:p w:rsidR="00D84F6B" w:rsidRDefault="00D84F6B" w:rsidP="000A148A">
      <w:pPr>
        <w:pStyle w:val="Paragrafoelenco"/>
        <w:tabs>
          <w:tab w:val="left" w:pos="284"/>
        </w:tabs>
        <w:spacing w:line="240" w:lineRule="auto"/>
        <w:ind w:left="0"/>
        <w:jc w:val="both"/>
        <w:rPr>
          <w:rFonts w:ascii="Times New Roman" w:hAnsi="Times New Roman"/>
          <w:sz w:val="24"/>
          <w:szCs w:val="24"/>
        </w:rPr>
      </w:pPr>
    </w:p>
    <w:p w:rsidR="00D84F6B" w:rsidRDefault="00D84F6B" w:rsidP="000A148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Costituiscono componenti del “</w:t>
      </w:r>
      <w:r w:rsidR="00381106">
        <w:rPr>
          <w:rFonts w:ascii="Times New Roman" w:hAnsi="Times New Roman"/>
          <w:sz w:val="24"/>
          <w:szCs w:val="24"/>
        </w:rPr>
        <w:t>g</w:t>
      </w:r>
      <w:r>
        <w:rPr>
          <w:rFonts w:ascii="Times New Roman" w:hAnsi="Times New Roman"/>
          <w:sz w:val="24"/>
          <w:szCs w:val="24"/>
        </w:rPr>
        <w:t>ruppo amministrazione pubblica”:</w:t>
      </w:r>
    </w:p>
    <w:p w:rsidR="00D84F6B" w:rsidRDefault="00D84F6B" w:rsidP="009E56E2">
      <w:pPr>
        <w:pStyle w:val="Paragrafoelenco"/>
        <w:numPr>
          <w:ilvl w:val="0"/>
          <w:numId w:val="7"/>
        </w:numPr>
        <w:tabs>
          <w:tab w:val="left" w:pos="284"/>
        </w:tabs>
        <w:spacing w:line="240" w:lineRule="auto"/>
        <w:ind w:left="284"/>
        <w:jc w:val="both"/>
        <w:rPr>
          <w:rFonts w:ascii="Times New Roman" w:hAnsi="Times New Roman"/>
          <w:sz w:val="24"/>
          <w:szCs w:val="24"/>
        </w:rPr>
      </w:pPr>
      <w:r w:rsidRPr="00641F63">
        <w:rPr>
          <w:rFonts w:ascii="Times New Roman" w:hAnsi="Times New Roman"/>
          <w:sz w:val="24"/>
          <w:szCs w:val="24"/>
          <w:u w:val="single"/>
        </w:rPr>
        <w:t>gli organismi strumentali</w:t>
      </w:r>
      <w:r w:rsidRPr="004B2CA5">
        <w:rPr>
          <w:rFonts w:ascii="Times New Roman" w:hAnsi="Times New Roman"/>
          <w:sz w:val="24"/>
          <w:szCs w:val="24"/>
        </w:rPr>
        <w:t xml:space="preserve"> dell’amministrazione pubblica capogruppo come definiti dall’articolo 20 del presente decreto, in quanto trattasi delle articolazioni organizzative del</w:t>
      </w:r>
      <w:r>
        <w:rPr>
          <w:rFonts w:ascii="Times New Roman" w:hAnsi="Times New Roman"/>
          <w:sz w:val="24"/>
          <w:szCs w:val="24"/>
        </w:rPr>
        <w:t xml:space="preserve">la capogruppo stessa e, di conseguenza, </w:t>
      </w:r>
      <w:r w:rsidRPr="004B2CA5">
        <w:rPr>
          <w:rFonts w:ascii="Times New Roman" w:hAnsi="Times New Roman"/>
          <w:sz w:val="24"/>
          <w:szCs w:val="24"/>
        </w:rPr>
        <w:t>già compresi nel bilancio della capogruppo</w:t>
      </w:r>
      <w:r>
        <w:rPr>
          <w:rFonts w:ascii="Times New Roman" w:hAnsi="Times New Roman"/>
          <w:sz w:val="24"/>
          <w:szCs w:val="24"/>
        </w:rPr>
        <w:t>;</w:t>
      </w:r>
    </w:p>
    <w:p w:rsidR="00D84F6B" w:rsidRPr="004B2CA5" w:rsidRDefault="00D84F6B" w:rsidP="009E56E2">
      <w:pPr>
        <w:pStyle w:val="Paragrafoelenco"/>
        <w:numPr>
          <w:ilvl w:val="0"/>
          <w:numId w:val="7"/>
        </w:numPr>
        <w:tabs>
          <w:tab w:val="left" w:pos="284"/>
        </w:tabs>
        <w:spacing w:line="240" w:lineRule="auto"/>
        <w:ind w:left="284"/>
        <w:jc w:val="both"/>
        <w:rPr>
          <w:rFonts w:ascii="Times New Roman" w:hAnsi="Times New Roman"/>
          <w:sz w:val="24"/>
          <w:szCs w:val="24"/>
        </w:rPr>
      </w:pPr>
      <w:r w:rsidRPr="00641F63">
        <w:rPr>
          <w:rFonts w:ascii="Times New Roman" w:hAnsi="Times New Roman"/>
          <w:sz w:val="24"/>
          <w:szCs w:val="24"/>
          <w:u w:val="single"/>
        </w:rPr>
        <w:t>gli enti strumentali</w:t>
      </w:r>
      <w:r w:rsidRPr="004B2CA5">
        <w:rPr>
          <w:rFonts w:ascii="Times New Roman" w:hAnsi="Times New Roman"/>
          <w:sz w:val="24"/>
          <w:szCs w:val="24"/>
        </w:rPr>
        <w:t xml:space="preserve"> dell’amministrazione pubblica capogruppo</w:t>
      </w:r>
      <w:r>
        <w:rPr>
          <w:rFonts w:ascii="Times New Roman" w:hAnsi="Times New Roman"/>
          <w:sz w:val="24"/>
          <w:szCs w:val="24"/>
        </w:rPr>
        <w:t>, costituiti dagli enti pubblici e privati e dalle aziende nei cui confronti la capogruppo:</w:t>
      </w:r>
    </w:p>
    <w:p w:rsidR="00D84F6B" w:rsidRDefault="00D84F6B" w:rsidP="009E56E2">
      <w:pPr>
        <w:pStyle w:val="Paragrafoelenco"/>
        <w:numPr>
          <w:ilvl w:val="0"/>
          <w:numId w:val="4"/>
        </w:numPr>
        <w:spacing w:line="240" w:lineRule="auto"/>
        <w:jc w:val="both"/>
        <w:rPr>
          <w:rFonts w:ascii="Times New Roman" w:hAnsi="Times New Roman"/>
          <w:sz w:val="24"/>
          <w:szCs w:val="24"/>
        </w:rPr>
      </w:pPr>
      <w:r>
        <w:rPr>
          <w:rFonts w:ascii="Times New Roman" w:hAnsi="Times New Roman"/>
          <w:sz w:val="24"/>
          <w:szCs w:val="24"/>
        </w:rPr>
        <w:t>ha il possesso, diretto o indiretto, della maggioranza dei voti esercitabili nell’ente o nell’azienda;</w:t>
      </w:r>
    </w:p>
    <w:p w:rsidR="00D84F6B" w:rsidRPr="00E96A82" w:rsidRDefault="00D84F6B" w:rsidP="009E56E2">
      <w:pPr>
        <w:pStyle w:val="Paragrafoelenco"/>
        <w:numPr>
          <w:ilvl w:val="0"/>
          <w:numId w:val="4"/>
        </w:numPr>
        <w:spacing w:line="240" w:lineRule="auto"/>
        <w:jc w:val="both"/>
        <w:rPr>
          <w:rFonts w:ascii="Times New Roman" w:hAnsi="Times New Roman"/>
          <w:sz w:val="24"/>
          <w:szCs w:val="24"/>
        </w:rPr>
      </w:pPr>
      <w:r w:rsidRPr="00C51215">
        <w:rPr>
          <w:rFonts w:ascii="Times New Roman" w:hAnsi="Times New Roman"/>
          <w:sz w:val="24"/>
          <w:szCs w:val="24"/>
        </w:rPr>
        <w:t xml:space="preserve"> ha il potere </w:t>
      </w:r>
      <w:r>
        <w:rPr>
          <w:rFonts w:ascii="Times New Roman" w:hAnsi="Times New Roman"/>
          <w:sz w:val="24"/>
          <w:szCs w:val="24"/>
        </w:rPr>
        <w:t>assegnato da</w:t>
      </w:r>
      <w:r w:rsidRPr="00C51215">
        <w:rPr>
          <w:rFonts w:ascii="Times New Roman" w:hAnsi="Times New Roman"/>
          <w:sz w:val="24"/>
          <w:szCs w:val="24"/>
        </w:rPr>
        <w:t xml:space="preserve"> legge, statuto o convenzione di nominare o rimuovere la maggioranza dei componenti degli organi decisionali, competenti </w:t>
      </w:r>
      <w:r w:rsidR="00841C0B">
        <w:rPr>
          <w:rFonts w:ascii="Times New Roman" w:hAnsi="Times New Roman"/>
          <w:sz w:val="24"/>
          <w:szCs w:val="24"/>
        </w:rPr>
        <w:t>a</w:t>
      </w:r>
      <w:r w:rsidRPr="00C51215">
        <w:rPr>
          <w:rFonts w:ascii="Times New Roman" w:hAnsi="Times New Roman"/>
          <w:sz w:val="24"/>
          <w:szCs w:val="24"/>
        </w:rPr>
        <w:t xml:space="preserve"> definire le scelte strategiche e le politiche di settore, nonché </w:t>
      </w:r>
      <w:r w:rsidR="00841C0B">
        <w:rPr>
          <w:rFonts w:ascii="Times New Roman" w:hAnsi="Times New Roman"/>
          <w:sz w:val="24"/>
          <w:szCs w:val="24"/>
        </w:rPr>
        <w:t>a</w:t>
      </w:r>
      <w:r w:rsidRPr="00C51215">
        <w:rPr>
          <w:rFonts w:ascii="Times New Roman" w:hAnsi="Times New Roman"/>
          <w:sz w:val="24"/>
          <w:szCs w:val="24"/>
        </w:rPr>
        <w:t xml:space="preserve"> decidere in ordine</w:t>
      </w:r>
      <w:r w:rsidRPr="00C51215">
        <w:rPr>
          <w:rFonts w:ascii="Times New Roman" w:hAnsi="Times New Roman"/>
          <w:color w:val="000000"/>
          <w:sz w:val="24"/>
          <w:szCs w:val="24"/>
        </w:rPr>
        <w:t xml:space="preserve"> all’indirizzo, alla pianificazione ed alla programmazione dell’attività </w:t>
      </w:r>
      <w:r>
        <w:rPr>
          <w:rFonts w:ascii="Times New Roman" w:hAnsi="Times New Roman"/>
          <w:color w:val="000000"/>
          <w:sz w:val="24"/>
          <w:szCs w:val="24"/>
        </w:rPr>
        <w:t xml:space="preserve">di un </w:t>
      </w:r>
      <w:r w:rsidRPr="00C51215">
        <w:rPr>
          <w:rFonts w:ascii="Times New Roman" w:hAnsi="Times New Roman"/>
          <w:color w:val="000000"/>
          <w:sz w:val="24"/>
          <w:szCs w:val="24"/>
        </w:rPr>
        <w:t>ente</w:t>
      </w:r>
      <w:r>
        <w:rPr>
          <w:rFonts w:ascii="Times New Roman" w:hAnsi="Times New Roman"/>
          <w:color w:val="000000"/>
          <w:sz w:val="24"/>
          <w:szCs w:val="24"/>
        </w:rPr>
        <w:t xml:space="preserve"> o di un’azienda;</w:t>
      </w:r>
    </w:p>
    <w:p w:rsidR="00D84F6B" w:rsidRPr="00E96A82" w:rsidRDefault="00D84F6B" w:rsidP="009E56E2">
      <w:pPr>
        <w:pStyle w:val="Paragrafoelenco"/>
        <w:numPr>
          <w:ilvl w:val="0"/>
          <w:numId w:val="4"/>
        </w:numPr>
        <w:spacing w:line="240" w:lineRule="auto"/>
        <w:jc w:val="both"/>
        <w:rPr>
          <w:rFonts w:ascii="Times New Roman" w:hAnsi="Times New Roman"/>
          <w:sz w:val="24"/>
          <w:szCs w:val="24"/>
        </w:rPr>
      </w:pPr>
      <w:r>
        <w:rPr>
          <w:rFonts w:ascii="Times New Roman" w:hAnsi="Times New Roman"/>
          <w:color w:val="000000"/>
          <w:sz w:val="24"/>
          <w:szCs w:val="24"/>
        </w:rPr>
        <w:t xml:space="preserve">esercita, direttamente o indirettamente la maggioranza dei diritti di voto nelle sedute degli organi </w:t>
      </w:r>
      <w:r w:rsidRPr="00C51215">
        <w:rPr>
          <w:rFonts w:ascii="Times New Roman" w:hAnsi="Times New Roman"/>
          <w:sz w:val="24"/>
          <w:szCs w:val="24"/>
        </w:rPr>
        <w:t>decisionali, competenti a definire le scelte strategiche e le politiche di settore, nonché a decidere in ordine</w:t>
      </w:r>
      <w:r w:rsidRPr="00C51215">
        <w:rPr>
          <w:rFonts w:ascii="Times New Roman" w:hAnsi="Times New Roman"/>
          <w:color w:val="000000"/>
          <w:sz w:val="24"/>
          <w:szCs w:val="24"/>
        </w:rPr>
        <w:t xml:space="preserve"> all’indirizzo, alla pianificazione ed alla programmazione dell’attività dell’ente</w:t>
      </w:r>
      <w:r>
        <w:rPr>
          <w:rFonts w:ascii="Times New Roman" w:hAnsi="Times New Roman"/>
          <w:color w:val="000000"/>
          <w:sz w:val="24"/>
          <w:szCs w:val="24"/>
        </w:rPr>
        <w:t xml:space="preserve"> o dell’azienda;</w:t>
      </w:r>
    </w:p>
    <w:p w:rsidR="00D84F6B" w:rsidRPr="001C0420" w:rsidRDefault="00D84F6B" w:rsidP="009E56E2">
      <w:pPr>
        <w:pStyle w:val="Paragrafoelenco"/>
        <w:numPr>
          <w:ilvl w:val="0"/>
          <w:numId w:val="4"/>
        </w:numPr>
        <w:spacing w:line="240" w:lineRule="auto"/>
        <w:jc w:val="both"/>
        <w:rPr>
          <w:rFonts w:ascii="Times New Roman" w:hAnsi="Times New Roman"/>
          <w:sz w:val="24"/>
          <w:szCs w:val="24"/>
        </w:rPr>
      </w:pPr>
      <w:r>
        <w:rPr>
          <w:rFonts w:ascii="Times New Roman" w:hAnsi="Times New Roman"/>
          <w:color w:val="000000"/>
          <w:sz w:val="24"/>
          <w:szCs w:val="24"/>
        </w:rPr>
        <w:t>ha l’obbligo di ripianare i disavanzi  nei casi consentiti dalla legge</w:t>
      </w:r>
      <w:r w:rsidR="006C11F8">
        <w:rPr>
          <w:rFonts w:ascii="Times New Roman" w:hAnsi="Times New Roman"/>
          <w:color w:val="000000"/>
          <w:sz w:val="24"/>
          <w:szCs w:val="24"/>
        </w:rPr>
        <w:t>, per percentuali superiori alla quota di partecipazione</w:t>
      </w:r>
      <w:r>
        <w:rPr>
          <w:rFonts w:ascii="Times New Roman" w:hAnsi="Times New Roman"/>
          <w:color w:val="000000"/>
          <w:sz w:val="24"/>
          <w:szCs w:val="24"/>
        </w:rPr>
        <w:t>;</w:t>
      </w:r>
    </w:p>
    <w:p w:rsidR="00D84F6B" w:rsidRPr="00A309CE" w:rsidRDefault="00D84F6B" w:rsidP="009E56E2">
      <w:pPr>
        <w:pStyle w:val="Paragrafoelenco"/>
        <w:numPr>
          <w:ilvl w:val="0"/>
          <w:numId w:val="4"/>
        </w:numPr>
        <w:spacing w:line="240" w:lineRule="auto"/>
        <w:jc w:val="both"/>
        <w:rPr>
          <w:rFonts w:ascii="Times New Roman" w:hAnsi="Times New Roman"/>
          <w:sz w:val="24"/>
          <w:szCs w:val="24"/>
        </w:rPr>
      </w:pPr>
      <w:r>
        <w:rPr>
          <w:rFonts w:ascii="Times New Roman" w:hAnsi="Times New Roman"/>
          <w:color w:val="000000"/>
          <w:sz w:val="24"/>
          <w:szCs w:val="24"/>
        </w:rPr>
        <w:t>e</w:t>
      </w:r>
      <w:r w:rsidRPr="001C0420">
        <w:rPr>
          <w:rFonts w:ascii="Times New Roman" w:hAnsi="Times New Roman"/>
          <w:color w:val="000000"/>
          <w:sz w:val="24"/>
          <w:szCs w:val="24"/>
        </w:rPr>
        <w:t xml:space="preserve">sercita un’influenza dominante in virtù di </w:t>
      </w:r>
      <w:r>
        <w:rPr>
          <w:rFonts w:ascii="Times New Roman" w:hAnsi="Times New Roman"/>
          <w:color w:val="000000"/>
          <w:sz w:val="24"/>
          <w:szCs w:val="24"/>
        </w:rPr>
        <w:t>contratti</w:t>
      </w:r>
      <w:r w:rsidRPr="001C0420">
        <w:rPr>
          <w:rFonts w:ascii="Times New Roman" w:hAnsi="Times New Roman"/>
          <w:color w:val="000000"/>
          <w:sz w:val="24"/>
          <w:szCs w:val="24"/>
        </w:rPr>
        <w:t xml:space="preserve"> o clausol</w:t>
      </w:r>
      <w:r>
        <w:rPr>
          <w:rFonts w:ascii="Times New Roman" w:hAnsi="Times New Roman"/>
          <w:color w:val="000000"/>
          <w:sz w:val="24"/>
          <w:szCs w:val="24"/>
        </w:rPr>
        <w:t>e</w:t>
      </w:r>
      <w:r w:rsidRPr="001C0420">
        <w:rPr>
          <w:rFonts w:ascii="Times New Roman" w:hAnsi="Times New Roman"/>
          <w:color w:val="000000"/>
          <w:sz w:val="24"/>
          <w:szCs w:val="24"/>
        </w:rPr>
        <w:t xml:space="preserve"> statutari</w:t>
      </w:r>
      <w:r>
        <w:rPr>
          <w:rFonts w:ascii="Times New Roman" w:hAnsi="Times New Roman"/>
          <w:color w:val="000000"/>
          <w:sz w:val="24"/>
          <w:szCs w:val="24"/>
        </w:rPr>
        <w:t>e</w:t>
      </w:r>
      <w:r w:rsidRPr="001C0420">
        <w:rPr>
          <w:rFonts w:ascii="Times New Roman" w:hAnsi="Times New Roman"/>
          <w:color w:val="000000"/>
          <w:sz w:val="24"/>
          <w:szCs w:val="24"/>
        </w:rPr>
        <w:t xml:space="preserve">, nei casi in cui la legge consente tali </w:t>
      </w:r>
      <w:r w:rsidRPr="008758C6">
        <w:rPr>
          <w:rFonts w:ascii="Times New Roman" w:hAnsi="Times New Roman"/>
          <w:color w:val="000000"/>
          <w:sz w:val="24"/>
          <w:szCs w:val="24"/>
        </w:rPr>
        <w:t>contrat</w:t>
      </w:r>
      <w:r>
        <w:rPr>
          <w:rFonts w:ascii="Times New Roman" w:hAnsi="Times New Roman"/>
          <w:color w:val="000000"/>
          <w:sz w:val="24"/>
          <w:szCs w:val="24"/>
        </w:rPr>
        <w:t>t</w:t>
      </w:r>
      <w:r w:rsidRPr="008758C6">
        <w:rPr>
          <w:rFonts w:ascii="Times New Roman" w:hAnsi="Times New Roman"/>
          <w:color w:val="000000"/>
          <w:sz w:val="24"/>
          <w:szCs w:val="24"/>
        </w:rPr>
        <w:t xml:space="preserve">i o clausole.  I contratti di servizio pubblico e di concessione </w:t>
      </w:r>
      <w:r w:rsidRPr="00A309CE">
        <w:rPr>
          <w:rFonts w:ascii="Times New Roman" w:hAnsi="Times New Roman"/>
          <w:color w:val="000000"/>
          <w:sz w:val="24"/>
          <w:szCs w:val="24"/>
        </w:rPr>
        <w:t xml:space="preserve">stipulati con enti o aziende che svolgono prevalentemente l’attività oggetto di tali contratti presuppongono l’esercizio di influenza dominante. </w:t>
      </w:r>
    </w:p>
    <w:p w:rsidR="00D84F6B" w:rsidRPr="00A309CE" w:rsidRDefault="00D84F6B" w:rsidP="009E56E2">
      <w:pPr>
        <w:pStyle w:val="Paragrafoelenco"/>
        <w:numPr>
          <w:ilvl w:val="0"/>
          <w:numId w:val="7"/>
        </w:numPr>
        <w:tabs>
          <w:tab w:val="left" w:pos="284"/>
        </w:tabs>
        <w:spacing w:line="240" w:lineRule="auto"/>
        <w:jc w:val="both"/>
        <w:rPr>
          <w:rFonts w:ascii="Times New Roman" w:hAnsi="Times New Roman"/>
          <w:sz w:val="24"/>
          <w:szCs w:val="24"/>
        </w:rPr>
      </w:pPr>
      <w:r w:rsidRPr="00A309CE">
        <w:rPr>
          <w:rFonts w:ascii="Times New Roman" w:hAnsi="Times New Roman"/>
          <w:sz w:val="24"/>
          <w:szCs w:val="24"/>
          <w:u w:val="single"/>
        </w:rPr>
        <w:t>le società controllate</w:t>
      </w:r>
      <w:r w:rsidRPr="00A309CE">
        <w:rPr>
          <w:rFonts w:ascii="Times New Roman" w:hAnsi="Times New Roman"/>
          <w:sz w:val="24"/>
          <w:szCs w:val="24"/>
        </w:rPr>
        <w:t xml:space="preserve"> dall’amministrazione pubblica capogruppo, nei cui confronti la capogruppo:</w:t>
      </w:r>
    </w:p>
    <w:p w:rsidR="00D84F6B" w:rsidRPr="00A309CE" w:rsidRDefault="00D84F6B" w:rsidP="00395C05">
      <w:pPr>
        <w:pStyle w:val="Paragrafoelenco"/>
        <w:numPr>
          <w:ilvl w:val="1"/>
          <w:numId w:val="8"/>
        </w:numPr>
        <w:spacing w:line="240" w:lineRule="auto"/>
        <w:ind w:left="1134" w:hanging="425"/>
        <w:jc w:val="both"/>
        <w:rPr>
          <w:rFonts w:ascii="Times New Roman" w:hAnsi="Times New Roman"/>
          <w:sz w:val="24"/>
          <w:szCs w:val="24"/>
        </w:rPr>
      </w:pPr>
      <w:r w:rsidRPr="00A309CE">
        <w:rPr>
          <w:rFonts w:ascii="Times New Roman" w:hAnsi="Times New Roman"/>
          <w:color w:val="000000"/>
          <w:sz w:val="24"/>
          <w:szCs w:val="24"/>
        </w:rPr>
        <w:t xml:space="preserve">ha </w:t>
      </w:r>
      <w:r w:rsidRPr="00A309CE">
        <w:rPr>
          <w:rFonts w:ascii="Times New Roman" w:hAnsi="Times New Roman"/>
          <w:sz w:val="24"/>
          <w:szCs w:val="24"/>
        </w:rPr>
        <w:t xml:space="preserve"> il possesso, diretto o indiretto, </w:t>
      </w:r>
      <w:r w:rsidRPr="00A309CE">
        <w:rPr>
          <w:rFonts w:ascii="Times New Roman" w:hAnsi="Times New Roman"/>
          <w:color w:val="000000"/>
          <w:sz w:val="24"/>
          <w:szCs w:val="24"/>
        </w:rPr>
        <w:t xml:space="preserve">anche sulla scorta di patti parasociali, </w:t>
      </w:r>
      <w:r w:rsidRPr="00A309CE">
        <w:rPr>
          <w:rFonts w:ascii="Times New Roman" w:hAnsi="Times New Roman"/>
          <w:sz w:val="24"/>
          <w:szCs w:val="24"/>
        </w:rPr>
        <w:t xml:space="preserve">della maggioranza dei voti </w:t>
      </w:r>
      <w:r w:rsidRPr="00A309CE">
        <w:rPr>
          <w:rFonts w:ascii="Times New Roman" w:hAnsi="Times New Roman"/>
          <w:color w:val="000000"/>
          <w:sz w:val="24"/>
          <w:szCs w:val="24"/>
        </w:rPr>
        <w:t xml:space="preserve">esercitabili nell’assemblea ordinaria o dispone di voti sufficienti per esercitare una influenza dominante sull’assemblea ordinaria; </w:t>
      </w:r>
    </w:p>
    <w:p w:rsidR="00D84F6B" w:rsidRPr="00A309CE" w:rsidRDefault="00D84F6B" w:rsidP="00395C05">
      <w:pPr>
        <w:pStyle w:val="Paragrafoelenco"/>
        <w:numPr>
          <w:ilvl w:val="1"/>
          <w:numId w:val="8"/>
        </w:numPr>
        <w:spacing w:line="240" w:lineRule="auto"/>
        <w:ind w:left="1134" w:hanging="425"/>
        <w:jc w:val="both"/>
        <w:rPr>
          <w:rFonts w:ascii="Times New Roman" w:hAnsi="Times New Roman"/>
          <w:sz w:val="24"/>
          <w:szCs w:val="24"/>
        </w:rPr>
      </w:pPr>
      <w:r w:rsidRPr="00A309CE">
        <w:rPr>
          <w:rFonts w:ascii="Times New Roman" w:hAnsi="Times New Roman"/>
          <w:color w:val="000000"/>
          <w:sz w:val="24"/>
          <w:szCs w:val="24"/>
        </w:rPr>
        <w:t>ha il diritto, in virtù di un contratto o di una clausola statutaria, di esercitare un’influenza dominante, quando la legge consente tali contratti o clausole.  I contratti di servizio pubblico e di concessione stipulati con società che svolgono prevalentemente l’attività oggetto di tali contratti presuppongono l’esercizio di influenza dominante;</w:t>
      </w:r>
    </w:p>
    <w:p w:rsidR="006C0C64" w:rsidRPr="00A309CE" w:rsidRDefault="00D84F6B" w:rsidP="006C0C64">
      <w:pPr>
        <w:pStyle w:val="Paragrafoelenco"/>
        <w:numPr>
          <w:ilvl w:val="0"/>
          <w:numId w:val="7"/>
        </w:numPr>
        <w:spacing w:line="240" w:lineRule="auto"/>
        <w:jc w:val="both"/>
        <w:rPr>
          <w:rFonts w:ascii="Times New Roman" w:hAnsi="Times New Roman"/>
          <w:color w:val="000000"/>
          <w:sz w:val="24"/>
          <w:szCs w:val="24"/>
        </w:rPr>
      </w:pPr>
      <w:r w:rsidRPr="00A309CE">
        <w:rPr>
          <w:rFonts w:ascii="Times New Roman" w:hAnsi="Times New Roman"/>
          <w:sz w:val="24"/>
          <w:szCs w:val="24"/>
          <w:u w:val="single"/>
        </w:rPr>
        <w:t>le società partecipate</w:t>
      </w:r>
      <w:r w:rsidRPr="00A309CE">
        <w:rPr>
          <w:rFonts w:ascii="Times New Roman" w:hAnsi="Times New Roman"/>
          <w:sz w:val="24"/>
          <w:szCs w:val="24"/>
        </w:rPr>
        <w:t xml:space="preserve"> d</w:t>
      </w:r>
      <w:r w:rsidR="00423AEF" w:rsidRPr="00A309CE">
        <w:rPr>
          <w:rFonts w:ascii="Times New Roman" w:hAnsi="Times New Roman"/>
          <w:sz w:val="24"/>
          <w:szCs w:val="24"/>
        </w:rPr>
        <w:t>e</w:t>
      </w:r>
      <w:r w:rsidRPr="00A309CE">
        <w:rPr>
          <w:rFonts w:ascii="Times New Roman" w:hAnsi="Times New Roman"/>
          <w:sz w:val="24"/>
          <w:szCs w:val="24"/>
        </w:rPr>
        <w:t xml:space="preserve">ll’amministrazione pubblica capogruppo, </w:t>
      </w:r>
      <w:r w:rsidR="006C0C64" w:rsidRPr="00A309CE">
        <w:rPr>
          <w:rFonts w:ascii="Times New Roman" w:hAnsi="Times New Roman"/>
          <w:sz w:val="24"/>
          <w:szCs w:val="24"/>
        </w:rPr>
        <w:t>costituite dalle</w:t>
      </w:r>
      <w:r w:rsidR="006C0C64" w:rsidRPr="00A309CE">
        <w:rPr>
          <w:rFonts w:ascii="Times New Roman" w:hAnsi="Times New Roman"/>
          <w:color w:val="000000"/>
          <w:sz w:val="24"/>
          <w:szCs w:val="24"/>
        </w:rPr>
        <w:t xml:space="preserve"> società a totale partecipazione pubblica </w:t>
      </w:r>
      <w:r w:rsidR="006C0C64" w:rsidRPr="00A309CE">
        <w:rPr>
          <w:rFonts w:ascii="Times New Roman" w:hAnsi="Times New Roman"/>
          <w:sz w:val="24"/>
          <w:szCs w:val="24"/>
          <w:lang w:eastAsia="it-IT"/>
        </w:rPr>
        <w:t>affidatarie dirett</w:t>
      </w:r>
      <w:r w:rsidR="00423AEF" w:rsidRPr="00A309CE">
        <w:rPr>
          <w:rFonts w:ascii="Times New Roman" w:hAnsi="Times New Roman"/>
          <w:sz w:val="24"/>
          <w:szCs w:val="24"/>
          <w:lang w:eastAsia="it-IT"/>
        </w:rPr>
        <w:t>e</w:t>
      </w:r>
      <w:r w:rsidR="006C0C64" w:rsidRPr="00A309CE">
        <w:rPr>
          <w:rFonts w:ascii="Times New Roman" w:hAnsi="Times New Roman"/>
          <w:sz w:val="24"/>
          <w:szCs w:val="24"/>
          <w:lang w:eastAsia="it-IT"/>
        </w:rPr>
        <w:t xml:space="preserve"> di servizi pubblici locali della regione o dell’ente locale indipendentemente dalla quota di partecipazione</w:t>
      </w:r>
      <w:r w:rsidR="006C0C64" w:rsidRPr="00A309CE">
        <w:rPr>
          <w:rFonts w:ascii="Times New Roman" w:hAnsi="Times New Roman"/>
          <w:color w:val="000000"/>
          <w:sz w:val="24"/>
          <w:szCs w:val="24"/>
        </w:rPr>
        <w:t>.  Sulla base dei risultati della sperimentazione la definizione di società partecipata potrà essere estesa alle società nelle quali la regione o l’ente locale, direttamente o indirettamente, dispone di una quota significativa di voti,esercitabili in assemblea, pari o superiore al 20 per cento, o al 10 per cento se trattasi di società quotata.</w:t>
      </w:r>
    </w:p>
    <w:p w:rsidR="00D84F6B" w:rsidRPr="00A309CE" w:rsidRDefault="00D84F6B" w:rsidP="009046A9">
      <w:pPr>
        <w:tabs>
          <w:tab w:val="left" w:pos="284"/>
        </w:tabs>
        <w:spacing w:line="240" w:lineRule="auto"/>
        <w:jc w:val="both"/>
        <w:rPr>
          <w:rFonts w:ascii="Times New Roman" w:hAnsi="Times New Roman"/>
          <w:sz w:val="24"/>
          <w:szCs w:val="24"/>
        </w:rPr>
      </w:pPr>
      <w:r w:rsidRPr="00A309CE">
        <w:rPr>
          <w:rFonts w:ascii="Times New Roman" w:hAnsi="Times New Roman"/>
          <w:sz w:val="24"/>
          <w:szCs w:val="24"/>
        </w:rPr>
        <w:t xml:space="preserve">Ai fini dell’inclusione nel </w:t>
      </w:r>
      <w:r w:rsidR="00381106" w:rsidRPr="00A309CE">
        <w:rPr>
          <w:rFonts w:ascii="Times New Roman" w:hAnsi="Times New Roman"/>
          <w:sz w:val="24"/>
          <w:szCs w:val="24"/>
        </w:rPr>
        <w:t>g</w:t>
      </w:r>
      <w:r w:rsidRPr="00A309CE">
        <w:rPr>
          <w:rFonts w:ascii="Times New Roman" w:hAnsi="Times New Roman"/>
          <w:sz w:val="24"/>
          <w:szCs w:val="24"/>
        </w:rPr>
        <w:t xml:space="preserve">ruppo dell’amministrazione pubblica non rileva la  forma giuridica </w:t>
      </w:r>
      <w:proofErr w:type="spellStart"/>
      <w:r w:rsidRPr="00A309CE">
        <w:rPr>
          <w:rFonts w:ascii="Times New Roman" w:hAnsi="Times New Roman"/>
          <w:sz w:val="24"/>
          <w:szCs w:val="24"/>
        </w:rPr>
        <w:t>nè</w:t>
      </w:r>
      <w:proofErr w:type="spellEnd"/>
      <w:r w:rsidRPr="00A309CE">
        <w:rPr>
          <w:rFonts w:ascii="Times New Roman" w:hAnsi="Times New Roman"/>
          <w:sz w:val="24"/>
          <w:szCs w:val="24"/>
        </w:rPr>
        <w:t xml:space="preserve"> la differente natura  dell’attività svolta dall’ente strumentale o dalla società.</w:t>
      </w:r>
    </w:p>
    <w:p w:rsidR="00D84F6B" w:rsidRDefault="00841C0B" w:rsidP="009046A9">
      <w:pPr>
        <w:tabs>
          <w:tab w:val="left" w:pos="284"/>
        </w:tabs>
        <w:spacing w:line="240" w:lineRule="auto"/>
        <w:jc w:val="both"/>
        <w:rPr>
          <w:rFonts w:ascii="Times New Roman" w:hAnsi="Times New Roman"/>
          <w:sz w:val="24"/>
          <w:szCs w:val="24"/>
        </w:rPr>
      </w:pPr>
      <w:r w:rsidRPr="00A309CE">
        <w:rPr>
          <w:rFonts w:ascii="Times New Roman" w:hAnsi="Times New Roman"/>
          <w:sz w:val="24"/>
          <w:szCs w:val="24"/>
        </w:rPr>
        <w:t xml:space="preserve">Il </w:t>
      </w:r>
      <w:r w:rsidR="00381106" w:rsidRPr="00A309CE">
        <w:rPr>
          <w:rFonts w:ascii="Times New Roman" w:hAnsi="Times New Roman"/>
          <w:sz w:val="24"/>
          <w:szCs w:val="24"/>
        </w:rPr>
        <w:t>g</w:t>
      </w:r>
      <w:r w:rsidRPr="00A309CE">
        <w:rPr>
          <w:rFonts w:ascii="Times New Roman" w:hAnsi="Times New Roman"/>
          <w:sz w:val="24"/>
          <w:szCs w:val="24"/>
        </w:rPr>
        <w:t>ruppo “</w:t>
      </w:r>
      <w:r w:rsidR="00D84F6B" w:rsidRPr="00A309CE">
        <w:rPr>
          <w:rFonts w:ascii="Times New Roman" w:hAnsi="Times New Roman"/>
          <w:sz w:val="24"/>
          <w:szCs w:val="24"/>
        </w:rPr>
        <w:t>amministrazione pubblica</w:t>
      </w:r>
      <w:r w:rsidRPr="00A309CE">
        <w:rPr>
          <w:rFonts w:ascii="Times New Roman" w:hAnsi="Times New Roman"/>
          <w:sz w:val="24"/>
          <w:szCs w:val="24"/>
        </w:rPr>
        <w:t>”</w:t>
      </w:r>
      <w:r w:rsidR="00D84F6B" w:rsidRPr="00A309CE">
        <w:rPr>
          <w:rFonts w:ascii="Times New Roman" w:hAnsi="Times New Roman"/>
          <w:sz w:val="24"/>
          <w:szCs w:val="24"/>
        </w:rPr>
        <w:t xml:space="preserve"> può comprendere anche gruppi intermedi di amministrazioni pubbliche o di imprese. In tal caso il bilancio consolidato è predisposto aggregando </w:t>
      </w:r>
      <w:r w:rsidR="00381106" w:rsidRPr="00A309CE">
        <w:rPr>
          <w:rFonts w:ascii="Times New Roman" w:hAnsi="Times New Roman"/>
          <w:sz w:val="24"/>
          <w:szCs w:val="24"/>
        </w:rPr>
        <w:t xml:space="preserve">anche </w:t>
      </w:r>
      <w:r w:rsidR="00D84F6B" w:rsidRPr="00A309CE">
        <w:rPr>
          <w:rFonts w:ascii="Times New Roman" w:hAnsi="Times New Roman"/>
          <w:sz w:val="24"/>
          <w:szCs w:val="24"/>
        </w:rPr>
        <w:t>i bilanci consolidati dei gruppi intermedi.</w:t>
      </w:r>
    </w:p>
    <w:p w:rsidR="006C0C64" w:rsidRDefault="006C0C64" w:rsidP="009046A9">
      <w:pPr>
        <w:tabs>
          <w:tab w:val="left" w:pos="284"/>
        </w:tabs>
        <w:spacing w:line="240" w:lineRule="auto"/>
        <w:jc w:val="both"/>
        <w:rPr>
          <w:rFonts w:ascii="Times New Roman" w:hAnsi="Times New Roman"/>
          <w:sz w:val="24"/>
          <w:szCs w:val="24"/>
        </w:rPr>
      </w:pPr>
    </w:p>
    <w:p w:rsidR="00D84F6B" w:rsidRDefault="00D84F6B" w:rsidP="009E56E2">
      <w:pPr>
        <w:pStyle w:val="Paragrafoelenco"/>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lastRenderedPageBreak/>
        <w:t>Attività preliminari al consolidamento dei bilanci</w:t>
      </w:r>
      <w:r w:rsidR="00841C0B">
        <w:rPr>
          <w:rFonts w:ascii="Times New Roman" w:hAnsi="Times New Roman"/>
          <w:b/>
          <w:sz w:val="24"/>
          <w:szCs w:val="24"/>
        </w:rPr>
        <w:t xml:space="preserve"> del gruppo</w:t>
      </w:r>
      <w:r>
        <w:rPr>
          <w:rFonts w:ascii="Times New Roman" w:hAnsi="Times New Roman"/>
          <w:b/>
          <w:sz w:val="24"/>
          <w:szCs w:val="24"/>
        </w:rPr>
        <w:t>:</w:t>
      </w:r>
    </w:p>
    <w:p w:rsidR="00D84F6B" w:rsidRPr="00641F63" w:rsidRDefault="00D84F6B" w:rsidP="009E56E2">
      <w:pPr>
        <w:pStyle w:val="Paragrafoelenco"/>
        <w:numPr>
          <w:ilvl w:val="1"/>
          <w:numId w:val="9"/>
        </w:numPr>
        <w:tabs>
          <w:tab w:val="left" w:pos="284"/>
        </w:tabs>
        <w:spacing w:line="240" w:lineRule="auto"/>
        <w:jc w:val="both"/>
        <w:rPr>
          <w:rFonts w:ascii="Times New Roman" w:hAnsi="Times New Roman"/>
          <w:b/>
          <w:sz w:val="24"/>
          <w:szCs w:val="24"/>
        </w:rPr>
      </w:pPr>
      <w:r w:rsidRPr="00641F63">
        <w:rPr>
          <w:rFonts w:ascii="Times New Roman" w:hAnsi="Times New Roman"/>
          <w:b/>
          <w:sz w:val="24"/>
          <w:szCs w:val="24"/>
        </w:rPr>
        <w:t xml:space="preserve">Individuazione </w:t>
      </w:r>
      <w:r>
        <w:rPr>
          <w:rFonts w:ascii="Times New Roman" w:hAnsi="Times New Roman"/>
          <w:b/>
          <w:sz w:val="24"/>
          <w:szCs w:val="24"/>
        </w:rPr>
        <w:t>degli enti da considerare per la predisposizione del bilancio consolidato</w:t>
      </w:r>
    </w:p>
    <w:p w:rsidR="00D84F6B" w:rsidRDefault="00D84F6B" w:rsidP="009747E5">
      <w:pPr>
        <w:tabs>
          <w:tab w:val="left" w:pos="284"/>
        </w:tabs>
        <w:spacing w:line="240" w:lineRule="auto"/>
        <w:jc w:val="both"/>
        <w:rPr>
          <w:rFonts w:ascii="Times New Roman" w:hAnsi="Times New Roman"/>
          <w:sz w:val="24"/>
          <w:szCs w:val="24"/>
        </w:rPr>
      </w:pPr>
      <w:r>
        <w:rPr>
          <w:rFonts w:ascii="Times New Roman" w:hAnsi="Times New Roman"/>
          <w:sz w:val="24"/>
          <w:szCs w:val="24"/>
        </w:rPr>
        <w:t>Gli enti in sperimentazione,  nell’ambito dei documenti riguardanti la programmazione della gestione degli esercizi 2012 e 2013 predispongono  due distinti elenchi concernenti:</w:t>
      </w:r>
    </w:p>
    <w:p w:rsidR="00D84F6B" w:rsidRDefault="00D84F6B" w:rsidP="009E56E2">
      <w:pPr>
        <w:pStyle w:val="Paragrafoelenco"/>
        <w:numPr>
          <w:ilvl w:val="0"/>
          <w:numId w:val="6"/>
        </w:numPr>
        <w:tabs>
          <w:tab w:val="left" w:pos="284"/>
        </w:tabs>
        <w:spacing w:line="240" w:lineRule="auto"/>
        <w:jc w:val="both"/>
        <w:rPr>
          <w:rFonts w:ascii="Times New Roman" w:hAnsi="Times New Roman"/>
          <w:sz w:val="24"/>
          <w:szCs w:val="24"/>
        </w:rPr>
      </w:pPr>
      <w:r>
        <w:rPr>
          <w:rFonts w:ascii="Times New Roman" w:hAnsi="Times New Roman"/>
          <w:sz w:val="24"/>
          <w:szCs w:val="24"/>
        </w:rPr>
        <w:t xml:space="preserve">gli enti, le aziende e le società che compongono il gruppo amministrazione pubblica, </w:t>
      </w:r>
      <w:r w:rsidR="00E81EE0">
        <w:rPr>
          <w:rFonts w:ascii="Times New Roman" w:hAnsi="Times New Roman"/>
          <w:sz w:val="24"/>
          <w:szCs w:val="24"/>
        </w:rPr>
        <w:t>in applicazione dei principi indicati nel paragrafo 2,</w:t>
      </w:r>
      <w:r w:rsidR="00381106">
        <w:rPr>
          <w:rFonts w:ascii="Times New Roman" w:hAnsi="Times New Roman"/>
          <w:sz w:val="24"/>
          <w:szCs w:val="24"/>
        </w:rPr>
        <w:t xml:space="preserve"> </w:t>
      </w:r>
      <w:r>
        <w:rPr>
          <w:rFonts w:ascii="Times New Roman" w:hAnsi="Times New Roman"/>
          <w:sz w:val="24"/>
          <w:szCs w:val="24"/>
        </w:rPr>
        <w:t>evidenziando gli enti, le aziende e le società che, a loro volta, sono a capo di un gruppo di amministrazioni pubbliche o di imprese;</w:t>
      </w:r>
    </w:p>
    <w:p w:rsidR="00D84F6B" w:rsidRDefault="00D84F6B" w:rsidP="009E56E2">
      <w:pPr>
        <w:pStyle w:val="Paragrafoelenco"/>
        <w:numPr>
          <w:ilvl w:val="0"/>
          <w:numId w:val="6"/>
        </w:numPr>
        <w:tabs>
          <w:tab w:val="left" w:pos="284"/>
        </w:tabs>
        <w:spacing w:line="240" w:lineRule="auto"/>
        <w:jc w:val="both"/>
        <w:rPr>
          <w:rFonts w:ascii="Times New Roman" w:hAnsi="Times New Roman"/>
          <w:sz w:val="24"/>
          <w:szCs w:val="24"/>
        </w:rPr>
      </w:pPr>
      <w:r>
        <w:rPr>
          <w:rFonts w:ascii="Times New Roman" w:hAnsi="Times New Roman"/>
          <w:sz w:val="24"/>
          <w:szCs w:val="24"/>
        </w:rPr>
        <w:t>gli enti, le aziende e le società componenti del gruppo comprese nel bilancio consolidato.</w:t>
      </w:r>
    </w:p>
    <w:p w:rsidR="00E81EE0" w:rsidRDefault="00E81EE0" w:rsidP="00DF6611">
      <w:pPr>
        <w:pStyle w:val="Paragrafoelenco"/>
        <w:tabs>
          <w:tab w:val="left" w:pos="284"/>
        </w:tabs>
        <w:spacing w:line="240" w:lineRule="auto"/>
        <w:ind w:left="284"/>
        <w:jc w:val="both"/>
        <w:rPr>
          <w:rFonts w:ascii="Times New Roman" w:hAnsi="Times New Roman"/>
          <w:sz w:val="24"/>
          <w:szCs w:val="24"/>
        </w:rPr>
      </w:pPr>
    </w:p>
    <w:p w:rsidR="00D84F6B" w:rsidRDefault="00D84F6B" w:rsidP="00E81EE0">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Gli enti e le società del gruppo </w:t>
      </w:r>
      <w:r w:rsidR="007A20E2">
        <w:rPr>
          <w:rFonts w:ascii="Times New Roman" w:hAnsi="Times New Roman"/>
          <w:sz w:val="24"/>
          <w:szCs w:val="24"/>
        </w:rPr>
        <w:t xml:space="preserve">compresi nell’elenco di cui al punto 1 possono non essere inseriti nell’elenco di cui al punto 2 </w:t>
      </w:r>
      <w:r>
        <w:rPr>
          <w:rFonts w:ascii="Times New Roman" w:hAnsi="Times New Roman"/>
          <w:sz w:val="24"/>
          <w:szCs w:val="24"/>
        </w:rPr>
        <w:t>nei casi di:</w:t>
      </w:r>
    </w:p>
    <w:p w:rsidR="00D84F6B" w:rsidRPr="00DF6611" w:rsidRDefault="00D84F6B" w:rsidP="0040722D">
      <w:pPr>
        <w:pStyle w:val="Paragrafoelenco"/>
        <w:numPr>
          <w:ilvl w:val="0"/>
          <w:numId w:val="21"/>
        </w:numPr>
        <w:autoSpaceDE w:val="0"/>
        <w:autoSpaceDN w:val="0"/>
        <w:adjustRightInd w:val="0"/>
        <w:spacing w:after="0" w:line="240" w:lineRule="auto"/>
        <w:jc w:val="both"/>
        <w:rPr>
          <w:rFonts w:ascii="Times New Roman" w:hAnsi="Times New Roman"/>
          <w:sz w:val="24"/>
          <w:szCs w:val="24"/>
          <w:lang w:eastAsia="it-IT"/>
        </w:rPr>
      </w:pPr>
      <w:r w:rsidRPr="00DF6611">
        <w:rPr>
          <w:rFonts w:ascii="Times New Roman" w:hAnsi="Times New Roman"/>
          <w:i/>
          <w:iCs/>
          <w:sz w:val="24"/>
          <w:szCs w:val="24"/>
          <w:lang w:eastAsia="it-IT"/>
        </w:rPr>
        <w:t>Irrilevanza</w:t>
      </w:r>
      <w:r>
        <w:rPr>
          <w:rFonts w:ascii="Times New Roman" w:hAnsi="Times New Roman"/>
          <w:i/>
          <w:iCs/>
          <w:sz w:val="24"/>
          <w:szCs w:val="24"/>
          <w:lang w:eastAsia="it-IT"/>
        </w:rPr>
        <w:t>,</w:t>
      </w:r>
      <w:r w:rsidRPr="00DF6611">
        <w:rPr>
          <w:rFonts w:ascii="Times New Roman" w:hAnsi="Times New Roman"/>
          <w:i/>
          <w:iCs/>
          <w:sz w:val="24"/>
          <w:szCs w:val="24"/>
          <w:lang w:eastAsia="it-IT"/>
        </w:rPr>
        <w:t xml:space="preserve"> </w:t>
      </w:r>
      <w:r>
        <w:rPr>
          <w:rFonts w:ascii="Times New Roman" w:hAnsi="Times New Roman"/>
          <w:sz w:val="24"/>
          <w:szCs w:val="24"/>
          <w:lang w:eastAsia="it-IT"/>
        </w:rPr>
        <w:t>q</w:t>
      </w:r>
      <w:r w:rsidRPr="00DF6611">
        <w:rPr>
          <w:rFonts w:ascii="Times New Roman" w:hAnsi="Times New Roman"/>
          <w:sz w:val="24"/>
          <w:szCs w:val="24"/>
          <w:lang w:eastAsia="it-IT"/>
        </w:rPr>
        <w:t>uando il bilancio di un componente del gruppo è irrilevante ai fini della rappresentazione veritiera e corretta della situazione patrimoniale e finanziaria e del risultato economico del gruppo.</w:t>
      </w:r>
    </w:p>
    <w:p w:rsidR="00D84F6B" w:rsidRPr="00A309CE" w:rsidRDefault="007A20E2" w:rsidP="0040722D">
      <w:pPr>
        <w:autoSpaceDE w:val="0"/>
        <w:autoSpaceDN w:val="0"/>
        <w:adjustRightInd w:val="0"/>
        <w:spacing w:after="0" w:line="240" w:lineRule="auto"/>
        <w:ind w:left="709" w:hanging="1"/>
        <w:jc w:val="both"/>
        <w:rPr>
          <w:rFonts w:ascii="Times New Roman" w:hAnsi="Times New Roman"/>
          <w:sz w:val="24"/>
          <w:szCs w:val="24"/>
          <w:lang w:eastAsia="it-IT"/>
        </w:rPr>
      </w:pPr>
      <w:r>
        <w:rPr>
          <w:rFonts w:ascii="Times New Roman" w:hAnsi="Times New Roman"/>
          <w:sz w:val="24"/>
          <w:szCs w:val="24"/>
          <w:lang w:eastAsia="it-IT"/>
        </w:rPr>
        <w:t xml:space="preserve">Sono </w:t>
      </w:r>
      <w:r w:rsidRPr="00A309CE">
        <w:rPr>
          <w:rFonts w:ascii="Times New Roman" w:hAnsi="Times New Roman"/>
          <w:sz w:val="24"/>
          <w:szCs w:val="24"/>
          <w:lang w:eastAsia="it-IT"/>
        </w:rPr>
        <w:t xml:space="preserve">considerati irrilevanti i bilanci che presentano, per ciascuno dei  seguenti parametri, una incidenza inferiore al </w:t>
      </w:r>
      <w:r w:rsidR="00AF7CC5" w:rsidRPr="00A309CE">
        <w:rPr>
          <w:rFonts w:ascii="Times New Roman" w:hAnsi="Times New Roman"/>
          <w:sz w:val="24"/>
          <w:szCs w:val="24"/>
          <w:lang w:eastAsia="it-IT"/>
        </w:rPr>
        <w:t xml:space="preserve">10 per cento per gli enti locali e al 5 per cento per le Regioni e le Province autonome </w:t>
      </w:r>
      <w:r w:rsidRPr="00A309CE">
        <w:rPr>
          <w:rFonts w:ascii="Times New Roman" w:hAnsi="Times New Roman"/>
          <w:sz w:val="24"/>
          <w:szCs w:val="24"/>
          <w:lang w:eastAsia="it-IT"/>
        </w:rPr>
        <w:t xml:space="preserve"> rispetto alla posizione patrimoniale, economico e finanziaria della capogruppo</w:t>
      </w:r>
      <w:r w:rsidR="00127687" w:rsidRPr="00A309CE">
        <w:rPr>
          <w:rFonts w:ascii="Times New Roman" w:hAnsi="Times New Roman"/>
          <w:sz w:val="24"/>
          <w:szCs w:val="24"/>
          <w:lang w:eastAsia="it-IT"/>
        </w:rPr>
        <w:t>:</w:t>
      </w:r>
    </w:p>
    <w:p w:rsidR="00D84F6B" w:rsidRDefault="00D84F6B" w:rsidP="0040722D">
      <w:pPr>
        <w:autoSpaceDE w:val="0"/>
        <w:autoSpaceDN w:val="0"/>
        <w:adjustRightInd w:val="0"/>
        <w:spacing w:after="0" w:line="240" w:lineRule="auto"/>
        <w:ind w:left="1416"/>
        <w:jc w:val="both"/>
        <w:rPr>
          <w:rFonts w:ascii="Times New Roman" w:hAnsi="Times New Roman"/>
          <w:sz w:val="24"/>
          <w:szCs w:val="24"/>
          <w:lang w:eastAsia="it-IT"/>
        </w:rPr>
      </w:pPr>
      <w:r w:rsidRPr="00A309CE">
        <w:rPr>
          <w:rFonts w:ascii="Times New Roman" w:hAnsi="Times New Roman"/>
          <w:sz w:val="24"/>
          <w:szCs w:val="24"/>
          <w:lang w:eastAsia="it-IT"/>
        </w:rPr>
        <w:t>- totale dell’attivo,</w:t>
      </w:r>
    </w:p>
    <w:p w:rsidR="00D84F6B" w:rsidRDefault="00D84F6B" w:rsidP="0040722D">
      <w:pPr>
        <w:autoSpaceDE w:val="0"/>
        <w:autoSpaceDN w:val="0"/>
        <w:adjustRightInd w:val="0"/>
        <w:spacing w:after="0" w:line="240" w:lineRule="auto"/>
        <w:ind w:left="1416"/>
        <w:jc w:val="both"/>
        <w:rPr>
          <w:rFonts w:ascii="Times New Roman" w:hAnsi="Times New Roman"/>
          <w:sz w:val="24"/>
          <w:szCs w:val="24"/>
          <w:lang w:eastAsia="it-IT"/>
        </w:rPr>
      </w:pPr>
      <w:r>
        <w:rPr>
          <w:rFonts w:ascii="Times New Roman" w:hAnsi="Times New Roman"/>
          <w:sz w:val="24"/>
          <w:szCs w:val="24"/>
          <w:lang w:eastAsia="it-IT"/>
        </w:rPr>
        <w:t>- patrimonio netto,</w:t>
      </w:r>
    </w:p>
    <w:p w:rsidR="00D84F6B" w:rsidRDefault="00D84F6B" w:rsidP="00DF6611">
      <w:pPr>
        <w:autoSpaceDE w:val="0"/>
        <w:autoSpaceDN w:val="0"/>
        <w:adjustRightInd w:val="0"/>
        <w:spacing w:after="0" w:line="240" w:lineRule="auto"/>
        <w:ind w:left="1416"/>
        <w:rPr>
          <w:rFonts w:ascii="Times New Roman" w:hAnsi="Times New Roman"/>
          <w:sz w:val="24"/>
          <w:szCs w:val="24"/>
          <w:lang w:eastAsia="it-IT"/>
        </w:rPr>
      </w:pPr>
      <w:r>
        <w:rPr>
          <w:rFonts w:ascii="Times New Roman" w:hAnsi="Times New Roman"/>
          <w:sz w:val="24"/>
          <w:szCs w:val="24"/>
          <w:lang w:eastAsia="it-IT"/>
        </w:rPr>
        <w:t>- t</w:t>
      </w:r>
      <w:r w:rsidR="007A20E2">
        <w:rPr>
          <w:rFonts w:ascii="Times New Roman" w:hAnsi="Times New Roman"/>
          <w:sz w:val="24"/>
          <w:szCs w:val="24"/>
          <w:lang w:eastAsia="it-IT"/>
        </w:rPr>
        <w:t>otale dei ricavi caratteristici.</w:t>
      </w:r>
    </w:p>
    <w:p w:rsidR="00D84F6B" w:rsidRDefault="00D84F6B" w:rsidP="007A20E2">
      <w:pPr>
        <w:autoSpaceDE w:val="0"/>
        <w:autoSpaceDN w:val="0"/>
        <w:adjustRightInd w:val="0"/>
        <w:spacing w:after="0" w:line="240" w:lineRule="auto"/>
        <w:ind w:left="709"/>
        <w:rPr>
          <w:rFonts w:ascii="Times New Roman" w:hAnsi="Times New Roman"/>
          <w:sz w:val="24"/>
          <w:szCs w:val="24"/>
          <w:lang w:eastAsia="it-IT"/>
        </w:rPr>
      </w:pPr>
      <w:r>
        <w:rPr>
          <w:rFonts w:ascii="Times New Roman" w:hAnsi="Times New Roman"/>
          <w:sz w:val="24"/>
          <w:szCs w:val="24"/>
          <w:lang w:eastAsia="it-IT"/>
        </w:rPr>
        <w:t xml:space="preserve"> </w:t>
      </w:r>
      <w:r>
        <w:rPr>
          <w:rFonts w:ascii="Times New Roman" w:hAnsi="Times New Roman"/>
          <w:i/>
          <w:iCs/>
          <w:sz w:val="24"/>
          <w:szCs w:val="24"/>
          <w:lang w:eastAsia="it-IT"/>
        </w:rPr>
        <w:t xml:space="preserve">b) Impossibilità di reperire le informazioni necessarie al consolidamento </w:t>
      </w:r>
      <w:r>
        <w:rPr>
          <w:rFonts w:ascii="Times New Roman" w:hAnsi="Times New Roman"/>
          <w:sz w:val="24"/>
          <w:szCs w:val="24"/>
          <w:lang w:eastAsia="it-IT"/>
        </w:rPr>
        <w:t>in tempi ragionevoli e senza spese sproporzionate. I casi di esclusione del consolidamento per detto motivo sono evidentemente estremamente limitati e riguardano</w:t>
      </w:r>
      <w:r>
        <w:rPr>
          <w:rFonts w:ascii="Times New Roman" w:hAnsi="Times New Roman"/>
          <w:i/>
          <w:iCs/>
          <w:sz w:val="24"/>
          <w:szCs w:val="24"/>
          <w:lang w:eastAsia="it-IT"/>
        </w:rPr>
        <w:t xml:space="preserve"> </w:t>
      </w:r>
      <w:r>
        <w:rPr>
          <w:rFonts w:ascii="Times New Roman" w:hAnsi="Times New Roman"/>
          <w:sz w:val="24"/>
          <w:szCs w:val="24"/>
          <w:lang w:eastAsia="it-IT"/>
        </w:rPr>
        <w:t>eventi di natura straordinaria (terremoti, alluvioni e altre calamità naturali) .</w:t>
      </w:r>
    </w:p>
    <w:p w:rsidR="0040722D" w:rsidRDefault="00E81EE0" w:rsidP="00E51D1B">
      <w:pPr>
        <w:tabs>
          <w:tab w:val="left" w:pos="284"/>
        </w:tabs>
        <w:spacing w:line="240" w:lineRule="auto"/>
        <w:ind w:left="709"/>
        <w:contextualSpacing/>
        <w:jc w:val="both"/>
        <w:rPr>
          <w:rFonts w:ascii="Times New Roman" w:hAnsi="Times New Roman"/>
          <w:sz w:val="24"/>
          <w:szCs w:val="24"/>
          <w:lang w:eastAsia="it-IT"/>
        </w:rPr>
      </w:pPr>
      <w:r>
        <w:rPr>
          <w:rFonts w:ascii="Times New Roman" w:hAnsi="Times New Roman"/>
          <w:sz w:val="24"/>
          <w:szCs w:val="24"/>
          <w:lang w:eastAsia="it-IT"/>
        </w:rPr>
        <w:t xml:space="preserve">c) </w:t>
      </w:r>
      <w:r w:rsidR="00E51D1B" w:rsidRPr="00E51D1B">
        <w:rPr>
          <w:rFonts w:ascii="Times New Roman" w:hAnsi="Times New Roman"/>
          <w:i/>
          <w:sz w:val="24"/>
          <w:szCs w:val="24"/>
          <w:lang w:eastAsia="it-IT"/>
        </w:rPr>
        <w:t>enti</w:t>
      </w:r>
      <w:r w:rsidR="00E51D1B">
        <w:rPr>
          <w:rFonts w:ascii="Times New Roman" w:hAnsi="Times New Roman"/>
          <w:sz w:val="24"/>
          <w:szCs w:val="24"/>
          <w:lang w:eastAsia="it-IT"/>
        </w:rPr>
        <w:t xml:space="preserve"> </w:t>
      </w:r>
      <w:r w:rsidR="00E51D1B" w:rsidRPr="00E51D1B">
        <w:rPr>
          <w:rFonts w:ascii="Times New Roman" w:hAnsi="Times New Roman"/>
          <w:i/>
          <w:sz w:val="24"/>
          <w:szCs w:val="24"/>
          <w:lang w:eastAsia="it-IT"/>
        </w:rPr>
        <w:t>in contabilità finanziaria non partecipanti alla sperimentazione</w:t>
      </w:r>
      <w:r w:rsidR="00E51D1B">
        <w:rPr>
          <w:rFonts w:ascii="Times New Roman" w:hAnsi="Times New Roman"/>
          <w:sz w:val="24"/>
          <w:szCs w:val="24"/>
          <w:lang w:eastAsia="it-IT"/>
        </w:rPr>
        <w:t xml:space="preserve"> a meno che non abbiano già adottato una contabilità economico-patrimoniale analoga a quella prevista dal presente decreto per gli e</w:t>
      </w:r>
      <w:r w:rsidR="0040722D">
        <w:rPr>
          <w:rFonts w:ascii="Times New Roman" w:hAnsi="Times New Roman"/>
          <w:sz w:val="24"/>
          <w:szCs w:val="24"/>
          <w:lang w:eastAsia="it-IT"/>
        </w:rPr>
        <w:t>nti in contabilità finanziaria;</w:t>
      </w:r>
    </w:p>
    <w:p w:rsidR="0040722D" w:rsidRDefault="0040722D" w:rsidP="00E81EE0">
      <w:pPr>
        <w:tabs>
          <w:tab w:val="left" w:pos="284"/>
        </w:tabs>
        <w:spacing w:line="240" w:lineRule="auto"/>
        <w:contextualSpacing/>
        <w:jc w:val="both"/>
        <w:rPr>
          <w:rFonts w:ascii="Times New Roman" w:hAnsi="Times New Roman"/>
          <w:sz w:val="24"/>
          <w:szCs w:val="24"/>
        </w:rPr>
      </w:pPr>
    </w:p>
    <w:p w:rsidR="00E81EE0" w:rsidRDefault="00E81EE0" w:rsidP="00E81EE0">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Entrambi gli elenchi sono aggiornati alla fine dell’esercizio per tenere conto di quanto avvenuto nel corso della gestione.  L</w:t>
      </w:r>
      <w:r w:rsidR="00841C0B">
        <w:rPr>
          <w:rFonts w:ascii="Times New Roman" w:hAnsi="Times New Roman"/>
          <w:sz w:val="24"/>
          <w:szCs w:val="24"/>
        </w:rPr>
        <w:t>a</w:t>
      </w:r>
      <w:r>
        <w:rPr>
          <w:rFonts w:ascii="Times New Roman" w:hAnsi="Times New Roman"/>
          <w:sz w:val="24"/>
          <w:szCs w:val="24"/>
        </w:rPr>
        <w:t xml:space="preserve"> version</w:t>
      </w:r>
      <w:r w:rsidR="00841C0B">
        <w:rPr>
          <w:rFonts w:ascii="Times New Roman" w:hAnsi="Times New Roman"/>
          <w:sz w:val="24"/>
          <w:szCs w:val="24"/>
        </w:rPr>
        <w:t>e</w:t>
      </w:r>
      <w:r>
        <w:rPr>
          <w:rFonts w:ascii="Times New Roman" w:hAnsi="Times New Roman"/>
          <w:sz w:val="24"/>
          <w:szCs w:val="24"/>
        </w:rPr>
        <w:t xml:space="preserve"> definitiv</w:t>
      </w:r>
      <w:r w:rsidR="00841C0B">
        <w:rPr>
          <w:rFonts w:ascii="Times New Roman" w:hAnsi="Times New Roman"/>
          <w:sz w:val="24"/>
          <w:szCs w:val="24"/>
        </w:rPr>
        <w:t>a</w:t>
      </w:r>
      <w:r>
        <w:rPr>
          <w:rFonts w:ascii="Times New Roman" w:hAnsi="Times New Roman"/>
          <w:sz w:val="24"/>
          <w:szCs w:val="24"/>
        </w:rPr>
        <w:t xml:space="preserve"> d</w:t>
      </w:r>
      <w:r w:rsidR="00841C0B">
        <w:rPr>
          <w:rFonts w:ascii="Times New Roman" w:hAnsi="Times New Roman"/>
          <w:sz w:val="24"/>
          <w:szCs w:val="24"/>
        </w:rPr>
        <w:t>e</w:t>
      </w:r>
      <w:r>
        <w:rPr>
          <w:rFonts w:ascii="Times New Roman" w:hAnsi="Times New Roman"/>
          <w:sz w:val="24"/>
          <w:szCs w:val="24"/>
        </w:rPr>
        <w:t xml:space="preserve">i </w:t>
      </w:r>
      <w:r w:rsidR="00841C0B">
        <w:rPr>
          <w:rFonts w:ascii="Times New Roman" w:hAnsi="Times New Roman"/>
          <w:sz w:val="24"/>
          <w:szCs w:val="24"/>
        </w:rPr>
        <w:t>due</w:t>
      </w:r>
      <w:r>
        <w:rPr>
          <w:rFonts w:ascii="Times New Roman" w:hAnsi="Times New Roman"/>
          <w:sz w:val="24"/>
          <w:szCs w:val="24"/>
        </w:rPr>
        <w:t xml:space="preserve"> elenchi </w:t>
      </w:r>
      <w:r w:rsidR="00841C0B">
        <w:rPr>
          <w:rFonts w:ascii="Times New Roman" w:hAnsi="Times New Roman"/>
          <w:sz w:val="24"/>
          <w:szCs w:val="24"/>
        </w:rPr>
        <w:t>è</w:t>
      </w:r>
      <w:r>
        <w:rPr>
          <w:rFonts w:ascii="Times New Roman" w:hAnsi="Times New Roman"/>
          <w:sz w:val="24"/>
          <w:szCs w:val="24"/>
        </w:rPr>
        <w:t xml:space="preserve"> </w:t>
      </w:r>
      <w:r w:rsidR="00E51D1B">
        <w:rPr>
          <w:rFonts w:ascii="Times New Roman" w:hAnsi="Times New Roman"/>
          <w:sz w:val="24"/>
          <w:szCs w:val="24"/>
        </w:rPr>
        <w:t xml:space="preserve"> inserit</w:t>
      </w:r>
      <w:r w:rsidR="00841C0B">
        <w:rPr>
          <w:rFonts w:ascii="Times New Roman" w:hAnsi="Times New Roman"/>
          <w:sz w:val="24"/>
          <w:szCs w:val="24"/>
        </w:rPr>
        <w:t>a</w:t>
      </w:r>
      <w:r>
        <w:rPr>
          <w:rFonts w:ascii="Times New Roman" w:hAnsi="Times New Roman"/>
          <w:sz w:val="24"/>
          <w:szCs w:val="24"/>
        </w:rPr>
        <w:t xml:space="preserve"> nella nota integrativa al bilancio consolidato. </w:t>
      </w:r>
    </w:p>
    <w:p w:rsidR="00E81EE0" w:rsidRDefault="00E81EE0" w:rsidP="00E81EE0">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 xml:space="preserve">Come indicato nel paragrafo 3.2 l’elenco di cui al punto 2) è trasmesso a ciascuno degli enti </w:t>
      </w:r>
      <w:r w:rsidR="00E51D1B">
        <w:rPr>
          <w:rFonts w:ascii="Times New Roman" w:hAnsi="Times New Roman"/>
          <w:sz w:val="24"/>
          <w:szCs w:val="24"/>
        </w:rPr>
        <w:t>compresi nel bilancio di consolidato</w:t>
      </w:r>
      <w:r>
        <w:rPr>
          <w:rFonts w:ascii="Times New Roman" w:hAnsi="Times New Roman"/>
          <w:sz w:val="24"/>
          <w:szCs w:val="24"/>
        </w:rPr>
        <w:t xml:space="preserve">  al fine di consentire a tutti i componenti del gruppo di conoscere con esattezza l’area del consolidamento e predisporre le informazioni richieste al punto 2) del citato paragrafo 3.2.</w:t>
      </w:r>
    </w:p>
    <w:p w:rsidR="00D84F6B" w:rsidRDefault="00D84F6B" w:rsidP="004B57C8">
      <w:pPr>
        <w:autoSpaceDE w:val="0"/>
        <w:autoSpaceDN w:val="0"/>
        <w:adjustRightInd w:val="0"/>
        <w:spacing w:after="0" w:line="240" w:lineRule="auto"/>
        <w:ind w:left="1417"/>
        <w:jc w:val="both"/>
        <w:rPr>
          <w:rFonts w:ascii="Times New Roman" w:hAnsi="Times New Roman"/>
          <w:sz w:val="24"/>
          <w:szCs w:val="24"/>
          <w:lang w:eastAsia="it-IT"/>
        </w:rPr>
      </w:pPr>
    </w:p>
    <w:p w:rsidR="00D84F6B" w:rsidRDefault="00D84F6B" w:rsidP="004B57C8">
      <w:pPr>
        <w:autoSpaceDE w:val="0"/>
        <w:autoSpaceDN w:val="0"/>
        <w:adjustRightInd w:val="0"/>
        <w:spacing w:after="0" w:line="240" w:lineRule="auto"/>
        <w:ind w:left="709"/>
        <w:rPr>
          <w:rFonts w:ascii="Times New Roman" w:hAnsi="Times New Roman"/>
          <w:sz w:val="24"/>
          <w:szCs w:val="24"/>
          <w:lang w:eastAsia="it-IT"/>
        </w:rPr>
      </w:pPr>
    </w:p>
    <w:p w:rsidR="00D84F6B" w:rsidRPr="00E81251" w:rsidRDefault="00D84F6B" w:rsidP="00E81251">
      <w:pPr>
        <w:tabs>
          <w:tab w:val="left" w:pos="284"/>
        </w:tabs>
        <w:spacing w:line="240" w:lineRule="auto"/>
        <w:contextualSpacing/>
        <w:jc w:val="both"/>
        <w:rPr>
          <w:rFonts w:ascii="Times New Roman" w:hAnsi="Times New Roman"/>
          <w:b/>
          <w:sz w:val="24"/>
          <w:szCs w:val="24"/>
        </w:rPr>
      </w:pPr>
      <w:r w:rsidRPr="00E81251">
        <w:rPr>
          <w:rFonts w:ascii="Times New Roman" w:hAnsi="Times New Roman"/>
          <w:b/>
          <w:sz w:val="24"/>
          <w:szCs w:val="24"/>
        </w:rPr>
        <w:t>3.2 Comunicazioni ai componenti del gruppo</w:t>
      </w:r>
    </w:p>
    <w:p w:rsidR="00D84F6B" w:rsidRDefault="00D84F6B" w:rsidP="00385987">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Prima dell’avvio di ciascuno degli esercizi riguardanti la sperimentazione</w:t>
      </w:r>
      <w:r w:rsidR="005613C9">
        <w:rPr>
          <w:rFonts w:ascii="Times New Roman" w:hAnsi="Times New Roman"/>
          <w:sz w:val="24"/>
          <w:szCs w:val="24"/>
        </w:rPr>
        <w:t xml:space="preserve"> (</w:t>
      </w:r>
      <w:r>
        <w:rPr>
          <w:rFonts w:ascii="Times New Roman" w:hAnsi="Times New Roman"/>
          <w:sz w:val="24"/>
          <w:szCs w:val="24"/>
        </w:rPr>
        <w:t xml:space="preserve"> 2012 e 2013</w:t>
      </w:r>
      <w:r w:rsidR="005613C9">
        <w:rPr>
          <w:rFonts w:ascii="Times New Roman" w:hAnsi="Times New Roman"/>
          <w:sz w:val="24"/>
          <w:szCs w:val="24"/>
        </w:rPr>
        <w:t xml:space="preserve">) </w:t>
      </w:r>
      <w:r>
        <w:rPr>
          <w:rFonts w:ascii="Times New Roman" w:hAnsi="Times New Roman"/>
          <w:sz w:val="24"/>
          <w:szCs w:val="24"/>
        </w:rPr>
        <w:t xml:space="preserve">, o appena possibile,  l’amministrazione pubblica capogruppo: </w:t>
      </w:r>
    </w:p>
    <w:p w:rsidR="00D84F6B" w:rsidRPr="00522B1E" w:rsidRDefault="006C7164" w:rsidP="00FD7140">
      <w:pPr>
        <w:pStyle w:val="Paragrafoelenco"/>
        <w:numPr>
          <w:ilvl w:val="0"/>
          <w:numId w:val="13"/>
        </w:numPr>
        <w:tabs>
          <w:tab w:val="left" w:pos="284"/>
        </w:tabs>
        <w:spacing w:line="240" w:lineRule="auto"/>
        <w:jc w:val="both"/>
        <w:rPr>
          <w:rFonts w:ascii="Times New Roman" w:hAnsi="Times New Roman"/>
          <w:sz w:val="24"/>
          <w:szCs w:val="24"/>
        </w:rPr>
      </w:pPr>
      <w:r w:rsidRPr="00522B1E">
        <w:rPr>
          <w:rFonts w:ascii="Times New Roman" w:hAnsi="Times New Roman"/>
          <w:sz w:val="24"/>
          <w:szCs w:val="24"/>
        </w:rPr>
        <w:t>comunica agli enti, alle aziende e alle società comprese nell’elenco 2 del paragrafo precedente che saranno comprese nel proprio bilancio con</w:t>
      </w:r>
      <w:r w:rsidR="00522B1E" w:rsidRPr="00522B1E">
        <w:rPr>
          <w:rFonts w:ascii="Times New Roman" w:hAnsi="Times New Roman"/>
          <w:sz w:val="24"/>
          <w:szCs w:val="24"/>
        </w:rPr>
        <w:t xml:space="preserve">solidato del prossimo esercizio; </w:t>
      </w:r>
    </w:p>
    <w:p w:rsidR="00D84F6B" w:rsidRPr="00522B1E" w:rsidRDefault="006C7164" w:rsidP="00FD7140">
      <w:pPr>
        <w:pStyle w:val="Paragrafoelenco"/>
        <w:numPr>
          <w:ilvl w:val="0"/>
          <w:numId w:val="13"/>
        </w:numPr>
        <w:tabs>
          <w:tab w:val="left" w:pos="284"/>
        </w:tabs>
        <w:spacing w:line="240" w:lineRule="auto"/>
        <w:jc w:val="both"/>
        <w:rPr>
          <w:rFonts w:ascii="Times New Roman" w:hAnsi="Times New Roman"/>
          <w:sz w:val="24"/>
          <w:szCs w:val="24"/>
        </w:rPr>
      </w:pPr>
      <w:r w:rsidRPr="00522B1E">
        <w:rPr>
          <w:rFonts w:ascii="Times New Roman" w:hAnsi="Times New Roman"/>
          <w:sz w:val="24"/>
          <w:szCs w:val="24"/>
        </w:rPr>
        <w:t>trasmette a ciascuno di tali enti l’elenco degli enti  compresi nel consolidato (elenco di cui al punto 2 del paragrafo precedente);</w:t>
      </w:r>
    </w:p>
    <w:p w:rsidR="00D84F6B" w:rsidRPr="00FD7140" w:rsidRDefault="00D84F6B" w:rsidP="00FD7140">
      <w:pPr>
        <w:pStyle w:val="Paragrafoelenco"/>
        <w:numPr>
          <w:ilvl w:val="0"/>
          <w:numId w:val="13"/>
        </w:numPr>
        <w:tabs>
          <w:tab w:val="left" w:pos="284"/>
        </w:tabs>
        <w:spacing w:line="240" w:lineRule="auto"/>
        <w:jc w:val="both"/>
        <w:rPr>
          <w:rFonts w:ascii="Times New Roman" w:hAnsi="Times New Roman"/>
          <w:sz w:val="24"/>
          <w:szCs w:val="24"/>
        </w:rPr>
      </w:pPr>
      <w:r w:rsidRPr="00FD7140">
        <w:rPr>
          <w:rFonts w:ascii="Times New Roman" w:hAnsi="Times New Roman"/>
          <w:sz w:val="24"/>
          <w:szCs w:val="24"/>
        </w:rPr>
        <w:t xml:space="preserve"> impartisce le direttive necessarie per rendere possibile la predisposizione del bilancio consolidato.</w:t>
      </w:r>
    </w:p>
    <w:p w:rsidR="00D84F6B" w:rsidRPr="00522B1E" w:rsidRDefault="00D84F6B" w:rsidP="00385987">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 xml:space="preserve">Tali </w:t>
      </w:r>
      <w:r w:rsidRPr="00522B1E">
        <w:rPr>
          <w:rFonts w:ascii="Times New Roman" w:hAnsi="Times New Roman"/>
          <w:sz w:val="24"/>
          <w:szCs w:val="24"/>
        </w:rPr>
        <w:t>direttive riguardano:</w:t>
      </w:r>
    </w:p>
    <w:p w:rsidR="00D84F6B" w:rsidRPr="00127687" w:rsidRDefault="00D84F6B" w:rsidP="002063DC">
      <w:pPr>
        <w:pStyle w:val="Paragrafoelenco"/>
        <w:numPr>
          <w:ilvl w:val="0"/>
          <w:numId w:val="19"/>
        </w:numPr>
        <w:tabs>
          <w:tab w:val="left" w:pos="284"/>
        </w:tabs>
        <w:spacing w:line="240" w:lineRule="auto"/>
        <w:jc w:val="both"/>
        <w:rPr>
          <w:rFonts w:ascii="Times New Roman" w:hAnsi="Times New Roman"/>
          <w:sz w:val="24"/>
          <w:szCs w:val="24"/>
        </w:rPr>
      </w:pPr>
      <w:r w:rsidRPr="00522B1E">
        <w:rPr>
          <w:rFonts w:ascii="Times New Roman" w:hAnsi="Times New Roman"/>
          <w:sz w:val="24"/>
          <w:szCs w:val="24"/>
        </w:rPr>
        <w:t xml:space="preserve">le modalità e i tempi di trasmissione dei bilanci di esercizio,  dei rendiconti o dei bilanci consolidati e </w:t>
      </w:r>
      <w:r w:rsidRPr="00127687">
        <w:rPr>
          <w:rFonts w:ascii="Times New Roman" w:hAnsi="Times New Roman"/>
          <w:sz w:val="24"/>
          <w:szCs w:val="24"/>
        </w:rPr>
        <w:t>delle informazioni integrative necessarie all’elaborazione del consolidato. I bilanci di esercizio e la documentazione integrativa sono trasmessi alla capogruppo entro 10 giorni dall’approvazione dei bilanci e, in ogni caso, entro il 20 maggio dell’anno successivo a quello di riferimento</w:t>
      </w:r>
      <w:r w:rsidR="00522B1E" w:rsidRPr="00127687">
        <w:rPr>
          <w:rFonts w:ascii="Times New Roman" w:hAnsi="Times New Roman"/>
          <w:sz w:val="24"/>
          <w:szCs w:val="24"/>
        </w:rPr>
        <w:t>. I</w:t>
      </w:r>
      <w:r w:rsidRPr="00127687">
        <w:rPr>
          <w:rFonts w:ascii="Times New Roman" w:hAnsi="Times New Roman"/>
          <w:sz w:val="24"/>
          <w:szCs w:val="24"/>
        </w:rPr>
        <w:t xml:space="preserve"> bilanci consolidati delle sub-holding sono trasmessi entro il 20 maggio dell’anno successivo a quello di riferimento. L’osservanza di tali termini è particolarmente importante, in considerazione dei tempi tecnici necessari per l’effettuazione delle operazioni di consolidamento, per permettere il rispetto dei tempi previsti per il controllo e l’approvazione del bilancio consolidato. Se alle scadenze previste i bilanci </w:t>
      </w:r>
      <w:r w:rsidR="006B051E" w:rsidRPr="00127687">
        <w:rPr>
          <w:rFonts w:ascii="Times New Roman" w:hAnsi="Times New Roman"/>
          <w:sz w:val="24"/>
          <w:szCs w:val="24"/>
        </w:rPr>
        <w:t xml:space="preserve">dei componenti del gruppo </w:t>
      </w:r>
      <w:r w:rsidRPr="00127687">
        <w:rPr>
          <w:rFonts w:ascii="Times New Roman" w:hAnsi="Times New Roman"/>
          <w:sz w:val="24"/>
          <w:szCs w:val="24"/>
        </w:rPr>
        <w:t>non sono ancora stati approvati,  è trasmesso il pre-consuntivo o il bilancio predisposto ai fini dell’approvazione.</w:t>
      </w:r>
    </w:p>
    <w:p w:rsidR="00D84F6B" w:rsidRDefault="00D84F6B" w:rsidP="009D2A44">
      <w:pPr>
        <w:pStyle w:val="Paragrafoelenco"/>
        <w:numPr>
          <w:ilvl w:val="0"/>
          <w:numId w:val="19"/>
        </w:numPr>
        <w:tabs>
          <w:tab w:val="left" w:pos="284"/>
        </w:tabs>
        <w:spacing w:line="240" w:lineRule="auto"/>
        <w:jc w:val="both"/>
        <w:rPr>
          <w:rFonts w:ascii="Times New Roman" w:hAnsi="Times New Roman"/>
          <w:sz w:val="24"/>
          <w:szCs w:val="24"/>
        </w:rPr>
      </w:pPr>
      <w:r>
        <w:rPr>
          <w:rFonts w:ascii="Times New Roman" w:hAnsi="Times New Roman"/>
          <w:sz w:val="24"/>
          <w:szCs w:val="24"/>
        </w:rPr>
        <w:t>le indicazioni di dettaglio riguardanti</w:t>
      </w:r>
      <w:r w:rsidRPr="0051045B">
        <w:rPr>
          <w:rFonts w:ascii="Times New Roman" w:hAnsi="Times New Roman"/>
          <w:sz w:val="24"/>
          <w:szCs w:val="24"/>
        </w:rPr>
        <w:t xml:space="preserve"> la documentazione e le informazioni integrative che i componenti del gruppo devono trasmettere per rendere possibile l’elaborazione del consolidato. Di norma i documenti richiesti comprendono lo stato patrimoniale, il conto economico e le informazioni di dettaglio riguardanti le operazioni interne al gruppo (crediti, debiti, proventi e oneri, utili e perdite conseguenti a operazioni effettuate tra le componenti del gruppo) </w:t>
      </w:r>
      <w:r>
        <w:rPr>
          <w:rFonts w:ascii="Times New Roman" w:hAnsi="Times New Roman"/>
          <w:sz w:val="24"/>
          <w:szCs w:val="24"/>
        </w:rPr>
        <w:t>e che devono essere contenute nella nota integrativa del bilancio consolidato</w:t>
      </w:r>
      <w:r w:rsidRPr="0051045B">
        <w:rPr>
          <w:rFonts w:ascii="Times New Roman" w:hAnsi="Times New Roman"/>
          <w:sz w:val="24"/>
          <w:szCs w:val="24"/>
        </w:rPr>
        <w:t>.</w:t>
      </w:r>
    </w:p>
    <w:p w:rsidR="00D84F6B" w:rsidRPr="00061DB2" w:rsidRDefault="00D84F6B" w:rsidP="005924E5">
      <w:pPr>
        <w:pStyle w:val="Paragrafoelenco"/>
        <w:numPr>
          <w:ilvl w:val="0"/>
          <w:numId w:val="19"/>
        </w:numPr>
        <w:tabs>
          <w:tab w:val="left" w:pos="284"/>
        </w:tabs>
        <w:spacing w:line="240" w:lineRule="auto"/>
        <w:jc w:val="both"/>
        <w:rPr>
          <w:rFonts w:ascii="Times New Roman" w:hAnsi="Times New Roman"/>
          <w:sz w:val="24"/>
          <w:szCs w:val="24"/>
        </w:rPr>
      </w:pPr>
      <w:r>
        <w:rPr>
          <w:rFonts w:ascii="Times New Roman" w:hAnsi="Times New Roman"/>
          <w:sz w:val="24"/>
          <w:szCs w:val="24"/>
        </w:rPr>
        <w:t>le istruzioni necessarie per avviare un percorso che consenta, in tempi ragionevolmente brevi, di adeguare i bilanci del gruppo,</w:t>
      </w:r>
      <w:r w:rsidRPr="0051045B">
        <w:rPr>
          <w:rFonts w:ascii="Times New Roman" w:hAnsi="Times New Roman"/>
          <w:sz w:val="24"/>
          <w:szCs w:val="24"/>
        </w:rPr>
        <w:t xml:space="preserve"> </w:t>
      </w:r>
      <w:r>
        <w:rPr>
          <w:rFonts w:ascii="Times New Roman" w:hAnsi="Times New Roman"/>
          <w:sz w:val="24"/>
          <w:szCs w:val="24"/>
        </w:rPr>
        <w:t xml:space="preserve">compresi i bilanci consolidati intermedi, ai criteri previsti nel presente principio, </w:t>
      </w:r>
      <w:r w:rsidR="00AA7F77">
        <w:rPr>
          <w:rFonts w:ascii="Times New Roman" w:hAnsi="Times New Roman"/>
          <w:sz w:val="24"/>
          <w:szCs w:val="24"/>
        </w:rPr>
        <w:t>se non in contrasto con la</w:t>
      </w:r>
      <w:r>
        <w:rPr>
          <w:rFonts w:ascii="Times New Roman" w:hAnsi="Times New Roman"/>
          <w:sz w:val="24"/>
          <w:szCs w:val="24"/>
        </w:rPr>
        <w:t xml:space="preserve"> disciplina </w:t>
      </w:r>
      <w:r w:rsidRPr="001F553B">
        <w:rPr>
          <w:rFonts w:ascii="Times New Roman" w:hAnsi="Times New Roman"/>
          <w:sz w:val="24"/>
          <w:szCs w:val="24"/>
        </w:rPr>
        <w:t xml:space="preserve">civilistica </w:t>
      </w:r>
      <w:r w:rsidR="006B051E" w:rsidRPr="001F553B">
        <w:rPr>
          <w:rFonts w:ascii="Times New Roman" w:hAnsi="Times New Roman"/>
          <w:sz w:val="24"/>
          <w:szCs w:val="24"/>
        </w:rPr>
        <w:t>,</w:t>
      </w:r>
      <w:r w:rsidRPr="001F553B">
        <w:rPr>
          <w:rFonts w:ascii="Times New Roman" w:hAnsi="Times New Roman"/>
          <w:sz w:val="24"/>
          <w:szCs w:val="24"/>
        </w:rPr>
        <w:t xml:space="preserve"> </w:t>
      </w:r>
      <w:r w:rsidR="006C7164" w:rsidRPr="001F553B">
        <w:rPr>
          <w:rFonts w:ascii="Times New Roman" w:hAnsi="Times New Roman"/>
          <w:sz w:val="24"/>
          <w:szCs w:val="24"/>
        </w:rPr>
        <w:t>per gli enti del gruppo in contabilità economico-patrimoniale.</w:t>
      </w:r>
      <w:r w:rsidRPr="001F553B">
        <w:rPr>
          <w:rFonts w:ascii="Times New Roman" w:hAnsi="Times New Roman"/>
          <w:sz w:val="24"/>
          <w:szCs w:val="24"/>
        </w:rPr>
        <w:t xml:space="preserve"> In particolare, la capogruppo </w:t>
      </w:r>
      <w:r w:rsidR="005924E5" w:rsidRPr="001F553B">
        <w:rPr>
          <w:rFonts w:ascii="Times New Roman" w:hAnsi="Times New Roman"/>
          <w:sz w:val="24"/>
          <w:szCs w:val="24"/>
        </w:rPr>
        <w:t>predispone</w:t>
      </w:r>
      <w:r w:rsidR="005924E5">
        <w:rPr>
          <w:rFonts w:ascii="Times New Roman" w:hAnsi="Times New Roman"/>
          <w:sz w:val="24"/>
          <w:szCs w:val="24"/>
        </w:rPr>
        <w:t xml:space="preserve"> e trasmette ai propri </w:t>
      </w:r>
      <w:r>
        <w:rPr>
          <w:rFonts w:ascii="Times New Roman" w:hAnsi="Times New Roman"/>
          <w:sz w:val="24"/>
          <w:szCs w:val="24"/>
        </w:rPr>
        <w:t xml:space="preserve">enti strumentali e società controllate </w:t>
      </w:r>
      <w:r w:rsidR="005924E5">
        <w:rPr>
          <w:rFonts w:ascii="Times New Roman" w:hAnsi="Times New Roman"/>
          <w:sz w:val="24"/>
          <w:szCs w:val="24"/>
        </w:rPr>
        <w:t xml:space="preserve"> linee guida concernenti i </w:t>
      </w:r>
      <w:r>
        <w:rPr>
          <w:rFonts w:ascii="Times New Roman" w:hAnsi="Times New Roman"/>
          <w:sz w:val="24"/>
          <w:szCs w:val="24"/>
        </w:rPr>
        <w:t xml:space="preserve">criteri </w:t>
      </w:r>
      <w:r w:rsidR="005924E5">
        <w:rPr>
          <w:rFonts w:ascii="Times New Roman" w:hAnsi="Times New Roman"/>
          <w:sz w:val="24"/>
          <w:szCs w:val="24"/>
        </w:rPr>
        <w:t xml:space="preserve">di valutazione di bilancio e le modalità </w:t>
      </w:r>
      <w:r>
        <w:rPr>
          <w:rFonts w:ascii="Times New Roman" w:hAnsi="Times New Roman"/>
          <w:sz w:val="24"/>
          <w:szCs w:val="24"/>
        </w:rPr>
        <w:t>di consolidamento (per i bilanci consolidati delle sub-holding del gruppo)</w:t>
      </w:r>
      <w:r w:rsidR="005924E5" w:rsidRPr="005924E5">
        <w:rPr>
          <w:rFonts w:ascii="Times New Roman" w:hAnsi="Times New Roman"/>
          <w:sz w:val="24"/>
          <w:szCs w:val="24"/>
        </w:rPr>
        <w:t xml:space="preserve"> </w:t>
      </w:r>
      <w:r w:rsidR="005924E5">
        <w:rPr>
          <w:rFonts w:ascii="Times New Roman" w:hAnsi="Times New Roman"/>
          <w:sz w:val="24"/>
          <w:szCs w:val="24"/>
        </w:rPr>
        <w:t xml:space="preserve">compatibili con </w:t>
      </w:r>
      <w:r w:rsidR="00044973">
        <w:rPr>
          <w:rFonts w:ascii="Times New Roman" w:hAnsi="Times New Roman"/>
          <w:sz w:val="24"/>
          <w:szCs w:val="24"/>
        </w:rPr>
        <w:t>la disciplina civilistica</w:t>
      </w:r>
      <w:r>
        <w:rPr>
          <w:rFonts w:ascii="Times New Roman" w:hAnsi="Times New Roman"/>
          <w:sz w:val="24"/>
          <w:szCs w:val="24"/>
        </w:rPr>
        <w:t>.</w:t>
      </w:r>
    </w:p>
    <w:p w:rsidR="00D84F6B" w:rsidRDefault="00D84F6B" w:rsidP="00385987">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Per gli enti in contabilità finanziaria che partecipano al bilancio consolidato</w:t>
      </w:r>
      <w:r w:rsidR="006B051E">
        <w:rPr>
          <w:rFonts w:ascii="Times New Roman" w:hAnsi="Times New Roman"/>
          <w:sz w:val="24"/>
          <w:szCs w:val="24"/>
        </w:rPr>
        <w:t>,</w:t>
      </w:r>
      <w:r>
        <w:rPr>
          <w:rFonts w:ascii="Times New Roman" w:hAnsi="Times New Roman"/>
          <w:sz w:val="24"/>
          <w:szCs w:val="24"/>
        </w:rPr>
        <w:t xml:space="preserve"> </w:t>
      </w:r>
      <w:r w:rsidR="00DF11BE">
        <w:rPr>
          <w:rFonts w:ascii="Times New Roman" w:hAnsi="Times New Roman"/>
          <w:sz w:val="24"/>
          <w:szCs w:val="24"/>
        </w:rPr>
        <w:t>nel corso della sperimentazione</w:t>
      </w:r>
      <w:r w:rsidR="006B051E">
        <w:rPr>
          <w:rFonts w:ascii="Times New Roman" w:hAnsi="Times New Roman"/>
          <w:sz w:val="24"/>
          <w:szCs w:val="24"/>
        </w:rPr>
        <w:t>,</w:t>
      </w:r>
      <w:r w:rsidR="00DF11BE">
        <w:rPr>
          <w:rFonts w:ascii="Times New Roman" w:hAnsi="Times New Roman"/>
          <w:sz w:val="24"/>
          <w:szCs w:val="24"/>
        </w:rPr>
        <w:t xml:space="preserve"> </w:t>
      </w:r>
      <w:r>
        <w:rPr>
          <w:rFonts w:ascii="Times New Roman" w:hAnsi="Times New Roman"/>
          <w:sz w:val="24"/>
          <w:szCs w:val="24"/>
        </w:rPr>
        <w:t>l’uniformità dei bilanci è garantita dalle disposizioni del presente decreto.</w:t>
      </w:r>
    </w:p>
    <w:p w:rsidR="00D84F6B" w:rsidRDefault="00D84F6B" w:rsidP="00385987">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Per i componenti del gruppo che adottano la contabilità civilistica l’uniformità dei bilanci deve essere ottenuta attraverso l’esercizio dei poteri di controllo e di indirizzo normalmente esercitabili dai capogruppo nei confronti dei propri enti e società.</w:t>
      </w:r>
    </w:p>
    <w:p w:rsidR="00D84F6B" w:rsidRPr="00B0635E" w:rsidRDefault="00D84F6B" w:rsidP="00B0635E">
      <w:pPr>
        <w:spacing w:after="0" w:line="240" w:lineRule="auto"/>
        <w:contextualSpacing/>
        <w:jc w:val="both"/>
        <w:rPr>
          <w:rFonts w:ascii="Times New Roman" w:hAnsi="Times New Roman"/>
          <w:sz w:val="24"/>
          <w:szCs w:val="24"/>
        </w:rPr>
      </w:pPr>
      <w:r>
        <w:rPr>
          <w:rFonts w:ascii="Times New Roman" w:hAnsi="Times New Roman"/>
          <w:sz w:val="24"/>
          <w:szCs w:val="24"/>
        </w:rPr>
        <w:t xml:space="preserve">In particolare, la capogruppo invita i componenti del gruppo </w:t>
      </w:r>
      <w:r w:rsidR="006B051E">
        <w:rPr>
          <w:rFonts w:ascii="Times New Roman" w:hAnsi="Times New Roman"/>
          <w:sz w:val="24"/>
          <w:szCs w:val="24"/>
        </w:rPr>
        <w:t xml:space="preserve">ad </w:t>
      </w:r>
      <w:r>
        <w:rPr>
          <w:rFonts w:ascii="Times New Roman" w:hAnsi="Times New Roman"/>
          <w:sz w:val="24"/>
          <w:szCs w:val="24"/>
        </w:rPr>
        <w:t xml:space="preserve"> adottare il criterio del patrimonio netto per contabilizzare le</w:t>
      </w:r>
      <w:r w:rsidRPr="00B0635E">
        <w:rPr>
          <w:rFonts w:ascii="Times New Roman" w:hAnsi="Times New Roman"/>
          <w:sz w:val="24"/>
          <w:szCs w:val="24"/>
        </w:rPr>
        <w:t xml:space="preserve"> partecipazioni </w:t>
      </w:r>
      <w:r>
        <w:rPr>
          <w:rFonts w:ascii="Times New Roman" w:hAnsi="Times New Roman"/>
          <w:sz w:val="24"/>
          <w:szCs w:val="24"/>
        </w:rPr>
        <w:t>al capitale di componenti del gruppo,</w:t>
      </w:r>
      <w:r w:rsidRPr="00B0635E">
        <w:rPr>
          <w:sz w:val="24"/>
          <w:szCs w:val="24"/>
        </w:rPr>
        <w:t xml:space="preserve"> </w:t>
      </w:r>
      <w:r w:rsidRPr="00B0635E">
        <w:rPr>
          <w:rFonts w:ascii="Times New Roman" w:hAnsi="Times New Roman"/>
          <w:sz w:val="24"/>
          <w:szCs w:val="24"/>
        </w:rPr>
        <w:t xml:space="preserve">eccetto quando la partecipazione è acquistata e posseduta esclusivamente in vista di una dismissione </w:t>
      </w:r>
      <w:r>
        <w:rPr>
          <w:rFonts w:ascii="Times New Roman" w:hAnsi="Times New Roman"/>
          <w:sz w:val="24"/>
          <w:szCs w:val="24"/>
        </w:rPr>
        <w:t>entro l’anno</w:t>
      </w:r>
      <w:r w:rsidRPr="00B0635E">
        <w:rPr>
          <w:rFonts w:ascii="Times New Roman" w:hAnsi="Times New Roman"/>
          <w:sz w:val="24"/>
          <w:szCs w:val="24"/>
        </w:rPr>
        <w:t xml:space="preserve">. In quest’ultimo caso, la partecipazione </w:t>
      </w:r>
      <w:r>
        <w:rPr>
          <w:rFonts w:ascii="Times New Roman" w:hAnsi="Times New Roman"/>
          <w:sz w:val="24"/>
          <w:szCs w:val="24"/>
        </w:rPr>
        <w:t>è</w:t>
      </w:r>
      <w:r w:rsidRPr="00B0635E">
        <w:rPr>
          <w:rFonts w:ascii="Times New Roman" w:hAnsi="Times New Roman"/>
          <w:sz w:val="24"/>
          <w:szCs w:val="24"/>
        </w:rPr>
        <w:t xml:space="preserve"> contabilizzata in base al criterio del costo</w:t>
      </w:r>
      <w:r w:rsidRPr="00B0635E">
        <w:rPr>
          <w:sz w:val="24"/>
          <w:szCs w:val="24"/>
        </w:rPr>
        <w:t>.</w:t>
      </w:r>
    </w:p>
    <w:p w:rsidR="00D84F6B" w:rsidRDefault="00D84F6B" w:rsidP="00385987">
      <w:pPr>
        <w:tabs>
          <w:tab w:val="left" w:pos="284"/>
        </w:tabs>
        <w:spacing w:line="240" w:lineRule="auto"/>
        <w:contextualSpacing/>
        <w:jc w:val="both"/>
        <w:rPr>
          <w:rFonts w:ascii="Times New Roman" w:hAnsi="Times New Roman"/>
          <w:sz w:val="24"/>
          <w:szCs w:val="24"/>
        </w:rPr>
      </w:pPr>
    </w:p>
    <w:p w:rsidR="00D84F6B" w:rsidRDefault="00D84F6B" w:rsidP="00385987">
      <w:pPr>
        <w:tabs>
          <w:tab w:val="left" w:pos="284"/>
        </w:tabs>
        <w:spacing w:line="240" w:lineRule="auto"/>
        <w:contextualSpacing/>
        <w:jc w:val="both"/>
        <w:rPr>
          <w:rFonts w:ascii="Times New Roman" w:hAnsi="Times New Roman"/>
          <w:sz w:val="24"/>
          <w:szCs w:val="24"/>
        </w:rPr>
      </w:pPr>
      <w:r>
        <w:rPr>
          <w:rFonts w:ascii="Times New Roman" w:hAnsi="Times New Roman"/>
          <w:sz w:val="24"/>
          <w:szCs w:val="24"/>
        </w:rPr>
        <w:t>Nel caso in cui, alla fine dell’esercizio di riferimento del consolidato, l’elenco degli enti compresi nel bilancio pluriennale risulti variato rispetto alla versione elaborata all’avvio dell’esercizio, tale elenco deve essere nuovamente trasmesso ai componenti del  “</w:t>
      </w:r>
      <w:r w:rsidR="006B051E">
        <w:rPr>
          <w:rFonts w:ascii="Times New Roman" w:hAnsi="Times New Roman"/>
          <w:sz w:val="24"/>
          <w:szCs w:val="24"/>
        </w:rPr>
        <w:t>g</w:t>
      </w:r>
      <w:r>
        <w:rPr>
          <w:rFonts w:ascii="Times New Roman" w:hAnsi="Times New Roman"/>
          <w:sz w:val="24"/>
          <w:szCs w:val="24"/>
        </w:rPr>
        <w:t>ruppo amministrazione pubblica”.</w:t>
      </w:r>
    </w:p>
    <w:p w:rsidR="00D84F6B" w:rsidRPr="00385987" w:rsidRDefault="00D84F6B" w:rsidP="00385987">
      <w:pPr>
        <w:tabs>
          <w:tab w:val="left" w:pos="284"/>
        </w:tabs>
        <w:spacing w:line="240" w:lineRule="auto"/>
        <w:contextualSpacing/>
        <w:jc w:val="both"/>
        <w:rPr>
          <w:rFonts w:ascii="Times New Roman" w:hAnsi="Times New Roman"/>
          <w:sz w:val="24"/>
          <w:szCs w:val="24"/>
        </w:rPr>
      </w:pPr>
    </w:p>
    <w:p w:rsidR="00D84F6B" w:rsidRDefault="00D84F6B" w:rsidP="00B81B87">
      <w:pPr>
        <w:tabs>
          <w:tab w:val="left" w:pos="284"/>
        </w:tabs>
        <w:spacing w:line="240" w:lineRule="auto"/>
        <w:jc w:val="both"/>
        <w:rPr>
          <w:rFonts w:ascii="Times New Roman" w:hAnsi="Times New Roman"/>
          <w:sz w:val="24"/>
          <w:szCs w:val="24"/>
        </w:rPr>
      </w:pPr>
    </w:p>
    <w:p w:rsidR="00D84F6B" w:rsidRPr="002B7450" w:rsidRDefault="00D84F6B" w:rsidP="009E56E2">
      <w:pPr>
        <w:pStyle w:val="Paragrafoelenco"/>
        <w:numPr>
          <w:ilvl w:val="0"/>
          <w:numId w:val="1"/>
        </w:numPr>
        <w:tabs>
          <w:tab w:val="left" w:pos="284"/>
        </w:tabs>
        <w:spacing w:line="240" w:lineRule="auto"/>
        <w:ind w:left="0" w:firstLine="0"/>
        <w:jc w:val="both"/>
        <w:rPr>
          <w:rFonts w:ascii="Times New Roman" w:hAnsi="Times New Roman"/>
          <w:b/>
          <w:sz w:val="24"/>
          <w:szCs w:val="24"/>
        </w:rPr>
      </w:pPr>
      <w:r w:rsidRPr="002B7450">
        <w:rPr>
          <w:rFonts w:ascii="Times New Roman" w:hAnsi="Times New Roman"/>
          <w:b/>
          <w:sz w:val="24"/>
          <w:szCs w:val="24"/>
        </w:rPr>
        <w:t>Elaborazione del bilancio consolidato</w:t>
      </w:r>
    </w:p>
    <w:p w:rsidR="00D84F6B" w:rsidRDefault="00D84F6B" w:rsidP="002B7450">
      <w:pPr>
        <w:pStyle w:val="Paragrafoelenco"/>
        <w:tabs>
          <w:tab w:val="left" w:pos="284"/>
        </w:tabs>
        <w:spacing w:line="240" w:lineRule="auto"/>
        <w:ind w:left="0"/>
        <w:jc w:val="both"/>
        <w:rPr>
          <w:rFonts w:ascii="Times New Roman" w:hAnsi="Times New Roman"/>
          <w:b/>
          <w:sz w:val="24"/>
          <w:szCs w:val="24"/>
        </w:rPr>
      </w:pPr>
      <w:r w:rsidRPr="002B7450">
        <w:rPr>
          <w:rFonts w:ascii="Times New Roman" w:hAnsi="Times New Roman"/>
          <w:b/>
          <w:sz w:val="24"/>
          <w:szCs w:val="24"/>
        </w:rPr>
        <w:t xml:space="preserve">4.1 </w:t>
      </w:r>
      <w:r>
        <w:rPr>
          <w:rFonts w:ascii="Times New Roman" w:hAnsi="Times New Roman"/>
          <w:b/>
          <w:sz w:val="24"/>
          <w:szCs w:val="24"/>
        </w:rPr>
        <w:t>Attività diretta a rendere uniformi i bilanci da consolidare</w:t>
      </w:r>
    </w:p>
    <w:p w:rsidR="00D84F6B" w:rsidRDefault="00D84F6B" w:rsidP="002063DC">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Nel rispetto delle istruzioni ricevute di cui al paragrafo 3.2  i componenti del gruppo trasmettono la documentazione necessaria al bilancio consolidato alla capogruppo, costituita da:</w:t>
      </w:r>
    </w:p>
    <w:p w:rsidR="00D84F6B" w:rsidRDefault="00D84F6B" w:rsidP="002063DC">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-il </w:t>
      </w:r>
      <w:r w:rsidRPr="002063DC">
        <w:rPr>
          <w:rFonts w:ascii="Times New Roman" w:hAnsi="Times New Roman"/>
          <w:sz w:val="24"/>
          <w:szCs w:val="24"/>
        </w:rPr>
        <w:t>bilanci</w:t>
      </w:r>
      <w:r>
        <w:rPr>
          <w:rFonts w:ascii="Times New Roman" w:hAnsi="Times New Roman"/>
          <w:sz w:val="24"/>
          <w:szCs w:val="24"/>
        </w:rPr>
        <w:t>o</w:t>
      </w:r>
      <w:r w:rsidRPr="002063DC">
        <w:rPr>
          <w:rFonts w:ascii="Times New Roman" w:hAnsi="Times New Roman"/>
          <w:sz w:val="24"/>
          <w:szCs w:val="24"/>
        </w:rPr>
        <w:t xml:space="preserve"> consolidat</w:t>
      </w:r>
      <w:r>
        <w:rPr>
          <w:rFonts w:ascii="Times New Roman" w:hAnsi="Times New Roman"/>
          <w:sz w:val="24"/>
          <w:szCs w:val="24"/>
        </w:rPr>
        <w:t>o (solo</w:t>
      </w:r>
      <w:r w:rsidRPr="002063DC">
        <w:rPr>
          <w:rFonts w:ascii="Times New Roman" w:hAnsi="Times New Roman"/>
          <w:sz w:val="24"/>
          <w:szCs w:val="24"/>
        </w:rPr>
        <w:t xml:space="preserve"> da parte dei componenti del gruppo che sono, a loro volta, capi gruppo di imprese o di amministrazioni pubbliche</w:t>
      </w:r>
      <w:r>
        <w:rPr>
          <w:rFonts w:ascii="Times New Roman" w:hAnsi="Times New Roman"/>
          <w:sz w:val="24"/>
          <w:szCs w:val="24"/>
        </w:rPr>
        <w:t>)</w:t>
      </w:r>
      <w:r w:rsidRPr="002063DC">
        <w:rPr>
          <w:rFonts w:ascii="Times New Roman" w:hAnsi="Times New Roman"/>
          <w:sz w:val="24"/>
          <w:szCs w:val="24"/>
        </w:rPr>
        <w:t>,</w:t>
      </w:r>
    </w:p>
    <w:p w:rsidR="00D84F6B" w:rsidRDefault="00D84F6B" w:rsidP="002063DC">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w:t>
      </w:r>
      <w:r w:rsidRPr="002063DC">
        <w:rPr>
          <w:rFonts w:ascii="Times New Roman" w:hAnsi="Times New Roman"/>
          <w:sz w:val="24"/>
          <w:szCs w:val="24"/>
        </w:rPr>
        <w:t xml:space="preserve"> </w:t>
      </w:r>
      <w:r>
        <w:rPr>
          <w:rFonts w:ascii="Times New Roman" w:hAnsi="Times New Roman"/>
          <w:sz w:val="24"/>
          <w:szCs w:val="24"/>
        </w:rPr>
        <w:t xml:space="preserve">il </w:t>
      </w:r>
      <w:r w:rsidRPr="002063DC">
        <w:rPr>
          <w:rFonts w:ascii="Times New Roman" w:hAnsi="Times New Roman"/>
          <w:sz w:val="24"/>
          <w:szCs w:val="24"/>
        </w:rPr>
        <w:t>bilanci</w:t>
      </w:r>
      <w:r>
        <w:rPr>
          <w:rFonts w:ascii="Times New Roman" w:hAnsi="Times New Roman"/>
          <w:sz w:val="24"/>
          <w:szCs w:val="24"/>
        </w:rPr>
        <w:t>o</w:t>
      </w:r>
      <w:r w:rsidRPr="002063DC">
        <w:rPr>
          <w:rFonts w:ascii="Times New Roman" w:hAnsi="Times New Roman"/>
          <w:sz w:val="24"/>
          <w:szCs w:val="24"/>
        </w:rPr>
        <w:t xml:space="preserve"> di esercizio da parte </w:t>
      </w:r>
      <w:r>
        <w:rPr>
          <w:rFonts w:ascii="Times New Roman" w:hAnsi="Times New Roman"/>
          <w:sz w:val="24"/>
          <w:szCs w:val="24"/>
        </w:rPr>
        <w:t>dei</w:t>
      </w:r>
      <w:r w:rsidRPr="002063DC">
        <w:rPr>
          <w:rFonts w:ascii="Times New Roman" w:hAnsi="Times New Roman"/>
          <w:sz w:val="24"/>
          <w:szCs w:val="24"/>
        </w:rPr>
        <w:t xml:space="preserve"> componenti del gruppo che adottano la contabilità economico-patrimoniale</w:t>
      </w:r>
      <w:r>
        <w:rPr>
          <w:rFonts w:ascii="Times New Roman" w:hAnsi="Times New Roman"/>
          <w:sz w:val="24"/>
          <w:szCs w:val="24"/>
        </w:rPr>
        <w:t>,</w:t>
      </w:r>
    </w:p>
    <w:p w:rsidR="00D84F6B" w:rsidRPr="002063DC" w:rsidRDefault="00D84F6B" w:rsidP="002063DC">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il rendiconto dell’e</w:t>
      </w:r>
      <w:r w:rsidRPr="002063DC">
        <w:rPr>
          <w:rFonts w:ascii="Times New Roman" w:hAnsi="Times New Roman"/>
          <w:sz w:val="24"/>
          <w:szCs w:val="24"/>
        </w:rPr>
        <w:t xml:space="preserve">sercizio da parte </w:t>
      </w:r>
      <w:r>
        <w:rPr>
          <w:rFonts w:ascii="Times New Roman" w:hAnsi="Times New Roman"/>
          <w:sz w:val="24"/>
          <w:szCs w:val="24"/>
        </w:rPr>
        <w:t>dei</w:t>
      </w:r>
      <w:r w:rsidRPr="002063DC">
        <w:rPr>
          <w:rFonts w:ascii="Times New Roman" w:hAnsi="Times New Roman"/>
          <w:sz w:val="24"/>
          <w:szCs w:val="24"/>
        </w:rPr>
        <w:t xml:space="preserve"> componenti del gruppo che adottano la contabilità finanziaria affiancata dalla contabilità economico-patrimoniale</w:t>
      </w:r>
      <w:r>
        <w:rPr>
          <w:rFonts w:ascii="Times New Roman" w:hAnsi="Times New Roman"/>
          <w:sz w:val="24"/>
          <w:szCs w:val="24"/>
        </w:rPr>
        <w:t xml:space="preserve">. </w:t>
      </w:r>
    </w:p>
    <w:p w:rsidR="00D84F6B" w:rsidRDefault="00D84F6B" w:rsidP="00F8187E">
      <w:pPr>
        <w:pStyle w:val="Paragrafoelenco"/>
        <w:tabs>
          <w:tab w:val="left" w:pos="284"/>
        </w:tabs>
        <w:spacing w:line="240" w:lineRule="auto"/>
        <w:ind w:left="0"/>
        <w:jc w:val="both"/>
        <w:rPr>
          <w:rFonts w:ascii="Times New Roman" w:hAnsi="Times New Roman"/>
          <w:sz w:val="24"/>
          <w:szCs w:val="24"/>
        </w:rPr>
      </w:pPr>
    </w:p>
    <w:p w:rsidR="00D84F6B" w:rsidRDefault="00D84F6B" w:rsidP="00F8187E">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Nei casi in cui i criteri di valutazione e di consolidamento adottati nell’elaborazione dei bilanci da consolidare non sono tra loro uniformi, pur se corretti, l’uniformità è ottenuta apportando a tali bilanci opportune rettifiche in sede di consolidamento. Ad esempio, </w:t>
      </w:r>
      <w:r w:rsidR="00337D4E">
        <w:rPr>
          <w:rFonts w:ascii="Times New Roman" w:hAnsi="Times New Roman"/>
          <w:sz w:val="24"/>
          <w:szCs w:val="24"/>
        </w:rPr>
        <w:t>può essere</w:t>
      </w:r>
      <w:r>
        <w:rPr>
          <w:rFonts w:ascii="Times New Roman" w:hAnsi="Times New Roman"/>
          <w:sz w:val="24"/>
          <w:szCs w:val="24"/>
        </w:rPr>
        <w:t xml:space="preserve"> necessario procedere alla rettifica dei bilanci per rendere omogenei gli accantonamenti ai fondi ammortamenti se effettuati con aliquote differenti per le medesime tipologie di beni o gli accantonamenti al fondo svalutazione crediti.</w:t>
      </w:r>
    </w:p>
    <w:p w:rsidR="00D84F6B" w:rsidRPr="00F8187E" w:rsidRDefault="00D84F6B" w:rsidP="00F8187E">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Si ribadisce che è </w:t>
      </w:r>
      <w:r w:rsidRPr="00F8187E">
        <w:rPr>
          <w:rFonts w:ascii="Times New Roman" w:hAnsi="Times New Roman"/>
          <w:sz w:val="24"/>
          <w:szCs w:val="24"/>
        </w:rPr>
        <w:t>accettabile derogare all’obbligo di uniformità dei criteri di valutazione quando la conservazione di criteri difformi sia più idonea a realizzare l’obiettivo della rappresentazione veritiera e corretta. In questi casi, l’informativa supplementare al bilancio consolidato deve specificare la difformità dei principi contabili utilizzati e i motivi che ne sono alla base.</w:t>
      </w:r>
    </w:p>
    <w:p w:rsidR="00D84F6B" w:rsidRPr="0084316C" w:rsidRDefault="00D84F6B" w:rsidP="0084316C">
      <w:pPr>
        <w:pStyle w:val="Paragrafoelenco"/>
        <w:tabs>
          <w:tab w:val="left" w:pos="284"/>
        </w:tabs>
        <w:spacing w:line="240" w:lineRule="auto"/>
        <w:ind w:left="0"/>
        <w:jc w:val="both"/>
        <w:rPr>
          <w:rFonts w:ascii="Times New Roman" w:hAnsi="Times New Roman"/>
          <w:sz w:val="24"/>
          <w:szCs w:val="24"/>
        </w:rPr>
      </w:pPr>
      <w:r w:rsidRPr="0084316C">
        <w:rPr>
          <w:rFonts w:ascii="Times New Roman" w:hAnsi="Times New Roman"/>
          <w:sz w:val="24"/>
          <w:szCs w:val="24"/>
        </w:rPr>
        <w:t xml:space="preserve">La difformità nei principi contabili adottati da una o più controllate, è </w:t>
      </w:r>
      <w:r>
        <w:rPr>
          <w:rFonts w:ascii="Times New Roman" w:hAnsi="Times New Roman"/>
          <w:sz w:val="24"/>
          <w:szCs w:val="24"/>
        </w:rPr>
        <w:t xml:space="preserve">altresì </w:t>
      </w:r>
      <w:r w:rsidRPr="0084316C">
        <w:rPr>
          <w:rFonts w:ascii="Times New Roman" w:hAnsi="Times New Roman"/>
          <w:sz w:val="24"/>
          <w:szCs w:val="24"/>
        </w:rPr>
        <w:t>accettabile, se essi non sono rilevanti, sia in termini quantitativi che  qualitativi, rispetto al valore consolidato della voce in questione.</w:t>
      </w:r>
    </w:p>
    <w:p w:rsidR="00D84F6B" w:rsidRPr="0084316C" w:rsidRDefault="00D84F6B" w:rsidP="002B7450">
      <w:pPr>
        <w:pStyle w:val="Paragrafoelenco"/>
        <w:tabs>
          <w:tab w:val="left" w:pos="284"/>
        </w:tabs>
        <w:spacing w:line="240" w:lineRule="auto"/>
        <w:ind w:left="0"/>
        <w:jc w:val="both"/>
        <w:rPr>
          <w:rFonts w:ascii="Times New Roman" w:hAnsi="Times New Roman"/>
          <w:sz w:val="24"/>
          <w:szCs w:val="24"/>
        </w:rPr>
      </w:pPr>
    </w:p>
    <w:p w:rsidR="00D84F6B" w:rsidRDefault="00D84F6B" w:rsidP="00DF6611">
      <w:pPr>
        <w:pStyle w:val="Paragrafoelenco"/>
        <w:tabs>
          <w:tab w:val="left" w:pos="284"/>
        </w:tabs>
        <w:spacing w:line="240" w:lineRule="auto"/>
        <w:ind w:left="0"/>
        <w:jc w:val="both"/>
        <w:rPr>
          <w:rFonts w:ascii="Times New Roman" w:hAnsi="Times New Roman"/>
          <w:b/>
          <w:sz w:val="24"/>
          <w:szCs w:val="24"/>
        </w:rPr>
      </w:pPr>
      <w:r w:rsidRPr="003A148D">
        <w:rPr>
          <w:rFonts w:ascii="Times New Roman" w:hAnsi="Times New Roman"/>
          <w:b/>
          <w:sz w:val="24"/>
          <w:szCs w:val="24"/>
        </w:rPr>
        <w:t>4.2</w:t>
      </w:r>
      <w:r>
        <w:rPr>
          <w:rFonts w:ascii="Times New Roman" w:hAnsi="Times New Roman"/>
          <w:b/>
          <w:sz w:val="24"/>
          <w:szCs w:val="24"/>
        </w:rPr>
        <w:t xml:space="preserve"> Eliminazione delle operazioni infragruppo</w:t>
      </w:r>
    </w:p>
    <w:p w:rsidR="00D84F6B" w:rsidRDefault="00D84F6B" w:rsidP="00C61CAD">
      <w:pPr>
        <w:pStyle w:val="Paragrafoelenco"/>
        <w:tabs>
          <w:tab w:val="left" w:pos="284"/>
        </w:tabs>
        <w:spacing w:line="240" w:lineRule="auto"/>
        <w:ind w:left="0"/>
        <w:jc w:val="both"/>
        <w:rPr>
          <w:rFonts w:ascii="Times New Roman" w:hAnsi="Times New Roman"/>
          <w:sz w:val="24"/>
          <w:szCs w:val="24"/>
          <w:lang w:eastAsia="it-IT"/>
        </w:rPr>
      </w:pPr>
      <w:r>
        <w:rPr>
          <w:rFonts w:ascii="Times New Roman" w:hAnsi="Times New Roman"/>
          <w:sz w:val="24"/>
          <w:szCs w:val="24"/>
          <w:lang w:eastAsia="it-IT"/>
        </w:rPr>
        <w:t xml:space="preserve">Il bilancio consolidato deve includere soltanto le operazioni che </w:t>
      </w:r>
      <w:r w:rsidR="0059297D">
        <w:rPr>
          <w:rFonts w:ascii="Times New Roman" w:hAnsi="Times New Roman"/>
          <w:sz w:val="24"/>
          <w:szCs w:val="24"/>
          <w:lang w:eastAsia="it-IT"/>
        </w:rPr>
        <w:t xml:space="preserve">i componenti </w:t>
      </w:r>
      <w:r>
        <w:rPr>
          <w:rFonts w:ascii="Times New Roman" w:hAnsi="Times New Roman"/>
          <w:sz w:val="24"/>
          <w:szCs w:val="24"/>
          <w:lang w:eastAsia="it-IT"/>
        </w:rPr>
        <w:t>inclus</w:t>
      </w:r>
      <w:r w:rsidR="0059297D">
        <w:rPr>
          <w:rFonts w:ascii="Times New Roman" w:hAnsi="Times New Roman"/>
          <w:sz w:val="24"/>
          <w:szCs w:val="24"/>
          <w:lang w:eastAsia="it-IT"/>
        </w:rPr>
        <w:t>i</w:t>
      </w:r>
      <w:r w:rsidR="001F553B">
        <w:rPr>
          <w:rFonts w:ascii="Times New Roman" w:hAnsi="Times New Roman"/>
          <w:sz w:val="24"/>
          <w:szCs w:val="24"/>
          <w:lang w:eastAsia="it-IT"/>
        </w:rPr>
        <w:t xml:space="preserve"> </w:t>
      </w:r>
      <w:r>
        <w:rPr>
          <w:rFonts w:ascii="Times New Roman" w:hAnsi="Times New Roman"/>
          <w:sz w:val="24"/>
          <w:szCs w:val="24"/>
          <w:lang w:eastAsia="it-IT"/>
        </w:rPr>
        <w:t xml:space="preserve">nel consolidamento hanno effettuato con i terzi estranei al gruppo. Il bilancio consolidato si basa infatti sul principio che esso deve riflettere la situazione </w:t>
      </w:r>
      <w:proofErr w:type="spellStart"/>
      <w:r>
        <w:rPr>
          <w:rFonts w:ascii="Times New Roman" w:hAnsi="Times New Roman"/>
          <w:sz w:val="24"/>
          <w:szCs w:val="24"/>
          <w:lang w:eastAsia="it-IT"/>
        </w:rPr>
        <w:t>patrimoniale-finanziaria</w:t>
      </w:r>
      <w:proofErr w:type="spellEnd"/>
      <w:r>
        <w:rPr>
          <w:rFonts w:ascii="Times New Roman" w:hAnsi="Times New Roman"/>
          <w:sz w:val="24"/>
          <w:szCs w:val="24"/>
          <w:lang w:eastAsia="it-IT"/>
        </w:rPr>
        <w:t xml:space="preserve"> e le sue variazioni, incluso il risultato economico conseguito, di un’unica entità economica composta da una pluralità di soggetti giuridici. </w:t>
      </w:r>
    </w:p>
    <w:p w:rsidR="00D84F6B" w:rsidRDefault="00D84F6B" w:rsidP="00C61CAD">
      <w:pPr>
        <w:pStyle w:val="Paragrafoelenco"/>
        <w:tabs>
          <w:tab w:val="left" w:pos="284"/>
        </w:tabs>
        <w:spacing w:line="240" w:lineRule="auto"/>
        <w:ind w:left="0"/>
        <w:jc w:val="both"/>
        <w:rPr>
          <w:rFonts w:ascii="Times New Roman" w:hAnsi="Times New Roman"/>
          <w:sz w:val="24"/>
          <w:szCs w:val="24"/>
          <w:lang w:eastAsia="it-IT"/>
        </w:rPr>
      </w:pPr>
      <w:r>
        <w:rPr>
          <w:rFonts w:ascii="Times New Roman" w:hAnsi="Times New Roman"/>
          <w:sz w:val="24"/>
          <w:szCs w:val="24"/>
          <w:lang w:eastAsia="it-IT"/>
        </w:rPr>
        <w:t>Pertanto, devono essere eliminati in sede di consolidamento le operazioni e i saldi reciproci, perché costituiscono semplicemente il trasferimento di risorse all’interno del gruppo; infatti, qualora non fossero eliminate tali partite, i saldi consolidati risulterebbero indebitamente accresciuti. La corretta procedura di eliminazione di tali poste presuppone l’equivalenza delle partite reciproche e l’accertamento delle eventuali differenze. Particolare attenzione va posta sulle partite “in transito” per evitare che la loro omessa registrazione da parte di una società da consolidare renda i saldi non omogenei.</w:t>
      </w: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La redazione del bilancio consolidato richiede pertanto ulteriori interventi di rettifica </w:t>
      </w:r>
      <w:r w:rsidR="0059297D">
        <w:rPr>
          <w:rFonts w:ascii="Times New Roman" w:hAnsi="Times New Roman"/>
          <w:sz w:val="24"/>
          <w:szCs w:val="24"/>
        </w:rPr>
        <w:t>dei</w:t>
      </w:r>
      <w:r>
        <w:rPr>
          <w:rFonts w:ascii="Times New Roman" w:hAnsi="Times New Roman"/>
          <w:sz w:val="24"/>
          <w:szCs w:val="24"/>
        </w:rPr>
        <w:t xml:space="preserve"> bilanci dei componenti del gruppo, riguardanti i s</w:t>
      </w:r>
      <w:r w:rsidRPr="00F2627F">
        <w:rPr>
          <w:rFonts w:ascii="Times New Roman" w:hAnsi="Times New Roman"/>
          <w:sz w:val="24"/>
          <w:szCs w:val="24"/>
        </w:rPr>
        <w:t xml:space="preserve">aldi, </w:t>
      </w:r>
      <w:r>
        <w:rPr>
          <w:rFonts w:ascii="Times New Roman" w:hAnsi="Times New Roman"/>
          <w:sz w:val="24"/>
          <w:szCs w:val="24"/>
        </w:rPr>
        <w:t xml:space="preserve">le </w:t>
      </w:r>
      <w:r w:rsidRPr="00F2627F">
        <w:rPr>
          <w:rFonts w:ascii="Times New Roman" w:hAnsi="Times New Roman"/>
          <w:sz w:val="24"/>
          <w:szCs w:val="24"/>
        </w:rPr>
        <w:t xml:space="preserve">operazioni, </w:t>
      </w:r>
      <w:r>
        <w:rPr>
          <w:rFonts w:ascii="Times New Roman" w:hAnsi="Times New Roman"/>
          <w:sz w:val="24"/>
          <w:szCs w:val="24"/>
        </w:rPr>
        <w:t xml:space="preserve">i </w:t>
      </w:r>
      <w:r w:rsidRPr="00F2627F">
        <w:rPr>
          <w:rFonts w:ascii="Times New Roman" w:hAnsi="Times New Roman"/>
          <w:sz w:val="24"/>
          <w:szCs w:val="24"/>
        </w:rPr>
        <w:t>proventi e</w:t>
      </w:r>
      <w:r>
        <w:rPr>
          <w:rFonts w:ascii="Times New Roman" w:hAnsi="Times New Roman"/>
          <w:sz w:val="24"/>
          <w:szCs w:val="24"/>
        </w:rPr>
        <w:t xml:space="preserve"> gli </w:t>
      </w:r>
      <w:r w:rsidRPr="00F2627F">
        <w:rPr>
          <w:rFonts w:ascii="Times New Roman" w:hAnsi="Times New Roman"/>
          <w:sz w:val="24"/>
          <w:szCs w:val="24"/>
        </w:rPr>
        <w:t xml:space="preserve">oneri </w:t>
      </w:r>
      <w:r>
        <w:rPr>
          <w:rFonts w:ascii="Times New Roman" w:hAnsi="Times New Roman"/>
          <w:sz w:val="24"/>
          <w:szCs w:val="24"/>
        </w:rPr>
        <w:t xml:space="preserve">riguardanti operazioni effettuate </w:t>
      </w:r>
      <w:r w:rsidRPr="00F2627F">
        <w:rPr>
          <w:rFonts w:ascii="Times New Roman" w:hAnsi="Times New Roman"/>
          <w:sz w:val="24"/>
          <w:szCs w:val="24"/>
        </w:rPr>
        <w:t xml:space="preserve">all’interno del </w:t>
      </w:r>
      <w:r w:rsidR="0059297D">
        <w:rPr>
          <w:rFonts w:ascii="Times New Roman" w:hAnsi="Times New Roman"/>
          <w:sz w:val="24"/>
          <w:szCs w:val="24"/>
        </w:rPr>
        <w:t>g</w:t>
      </w:r>
      <w:r w:rsidRPr="00F2627F">
        <w:rPr>
          <w:rFonts w:ascii="Times New Roman" w:hAnsi="Times New Roman"/>
          <w:sz w:val="24"/>
          <w:szCs w:val="24"/>
        </w:rPr>
        <w:t>ruppo amministrazione pubblica</w:t>
      </w:r>
      <w:r>
        <w:rPr>
          <w:rFonts w:ascii="Times New Roman" w:hAnsi="Times New Roman"/>
          <w:sz w:val="24"/>
          <w:szCs w:val="24"/>
        </w:rPr>
        <w:t xml:space="preserve">. </w:t>
      </w: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lang w:eastAsia="it-IT"/>
        </w:rPr>
        <w:t xml:space="preserve">L’identificazione delle operazioni infragruppo ai fini dell’eliminazione e dell’elisione dei dati contabili relativi è effettuata sulla base delle informazioni  trasmesse dai componenti del gruppo con il bilancio, richieste dalla capogruppo come indicato al punto 2 del paragrafo 3.2.  </w:t>
      </w:r>
    </w:p>
    <w:p w:rsidR="00D84F6B" w:rsidRDefault="00D84F6B" w:rsidP="009D2A44">
      <w:pPr>
        <w:pStyle w:val="Paragrafoelenco"/>
        <w:tabs>
          <w:tab w:val="left" w:pos="284"/>
        </w:tabs>
        <w:spacing w:line="240" w:lineRule="auto"/>
        <w:ind w:left="0"/>
        <w:jc w:val="both"/>
        <w:rPr>
          <w:rFonts w:ascii="Times New Roman" w:hAnsi="Times New Roman"/>
          <w:sz w:val="24"/>
          <w:szCs w:val="24"/>
        </w:rPr>
      </w:pPr>
    </w:p>
    <w:p w:rsidR="00D84F6B" w:rsidRDefault="00D84F6B" w:rsidP="009D2A44">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La maggior parte degli interventi di rettifica non modificano l’importo del risultato economico e del patrimonio netto in quanto  effettuati eliminando per lo stesso importo poste attive e poste passive del patrimonio o singoli componenti del conto economico (quali i crediti e i debiti, sia di funzionamento o commerciali, che di finanziamento nello stato patrimoniale, gli oneri e i proventi per Trasferimenti o contributi o i costi ed i ricavi concernenti gli acquisti e le vendite).</w:t>
      </w:r>
    </w:p>
    <w:p w:rsidR="00D84F6B" w:rsidRDefault="00D84F6B" w:rsidP="009D2A44">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Altri interventi di rettifica hanno effetto invece sul risultato economico consolidato e sul patrimonio netto consolidato e riguardano gli utili e le perdite infragruppo non ancora realizzati con terzi. Ad esempio, se una componente del gruppo ha venduto ad un’altra componente del gruppo un immobile</w:t>
      </w:r>
      <w:r w:rsidR="00554085">
        <w:rPr>
          <w:rFonts w:ascii="Times New Roman" w:hAnsi="Times New Roman"/>
          <w:sz w:val="24"/>
          <w:szCs w:val="24"/>
        </w:rPr>
        <w:t>,</w:t>
      </w:r>
      <w:r>
        <w:rPr>
          <w:rFonts w:ascii="Times New Roman" w:hAnsi="Times New Roman"/>
          <w:sz w:val="24"/>
          <w:szCs w:val="24"/>
        </w:rPr>
        <w:t xml:space="preserve"> realizzando una plusvalenza o una minusvalenza, ma l’immobile è ancora presente all’interno del gruppo, la minusvalenza o la plusvalenza rilevat</w:t>
      </w:r>
      <w:r w:rsidR="00554085">
        <w:rPr>
          <w:rFonts w:ascii="Times New Roman" w:hAnsi="Times New Roman"/>
          <w:sz w:val="24"/>
          <w:szCs w:val="24"/>
        </w:rPr>
        <w:t>a</w:t>
      </w:r>
      <w:r>
        <w:rPr>
          <w:rFonts w:ascii="Times New Roman" w:hAnsi="Times New Roman"/>
          <w:sz w:val="24"/>
          <w:szCs w:val="24"/>
        </w:rPr>
        <w:t xml:space="preserve"> nel bilancio dell’ente o società che ha venduto il bene deve essere eliminata. Di conseguenza diminuirà il risultato di esercizio di tale componente del gruppo e del gruppo nel suo complesso.</w:t>
      </w:r>
    </w:p>
    <w:p w:rsidR="00D84F6B" w:rsidRDefault="00D84F6B" w:rsidP="009D2A44">
      <w:pPr>
        <w:pStyle w:val="Paragrafoelenco"/>
        <w:tabs>
          <w:tab w:val="left" w:pos="284"/>
        </w:tabs>
        <w:spacing w:line="240" w:lineRule="auto"/>
        <w:ind w:left="0"/>
        <w:jc w:val="both"/>
        <w:rPr>
          <w:rFonts w:ascii="Times New Roman" w:hAnsi="Times New Roman"/>
          <w:sz w:val="24"/>
          <w:szCs w:val="24"/>
        </w:rPr>
      </w:pP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Particolari interventi di elisione sono costituiti da:</w:t>
      </w: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l’eliminazione del valore contabile delle partecipazioni della capogruppo in ciascuna componente del gruppo e la corrispondente parte del patrimonio netto di ciascuna componente del gruppo;</w:t>
      </w: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l’analoga eliminazione dei valori delle partecipazioni tra i componenti del gruppo e delle corrispondenti quote del patrimonio netto;</w:t>
      </w:r>
    </w:p>
    <w:p w:rsidR="00D84F6B" w:rsidRDefault="00D84F6B" w:rsidP="00FB7F7A">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 l’eliminazione degli utili e delle perdite derivanti da operazioni infragruppo compresi nel valore contabile di attività, quali le rimanenze e le immobilizzazioni costituite, ad </w:t>
      </w:r>
      <w:r w:rsidR="006C7164" w:rsidRPr="001F553B">
        <w:rPr>
          <w:rFonts w:ascii="Times New Roman" w:hAnsi="Times New Roman"/>
          <w:sz w:val="24"/>
          <w:szCs w:val="24"/>
        </w:rPr>
        <w:t>esempio, l’eliminazione delle minusvalenze e plusvalenze derivanti dall’alienazione di immobilizzazioni che sono ancora di proprietà del gruppo.</w:t>
      </w:r>
    </w:p>
    <w:p w:rsidR="00D84F6B" w:rsidRDefault="00D84F6B" w:rsidP="00F2627F">
      <w:pPr>
        <w:pStyle w:val="Paragrafoelenco"/>
        <w:tabs>
          <w:tab w:val="left" w:pos="284"/>
        </w:tabs>
        <w:spacing w:line="240" w:lineRule="auto"/>
        <w:ind w:left="0"/>
        <w:jc w:val="both"/>
        <w:rPr>
          <w:rFonts w:ascii="Times New Roman" w:hAnsi="Times New Roman"/>
          <w:sz w:val="24"/>
          <w:szCs w:val="24"/>
        </w:rPr>
      </w:pPr>
    </w:p>
    <w:p w:rsidR="00D84F6B" w:rsidRDefault="00D84F6B" w:rsidP="00F2627F">
      <w:pPr>
        <w:pStyle w:val="Paragrafoelenco"/>
        <w:tabs>
          <w:tab w:val="left" w:pos="284"/>
        </w:tabs>
        <w:spacing w:line="240" w:lineRule="auto"/>
        <w:ind w:left="0"/>
        <w:jc w:val="both"/>
        <w:rPr>
          <w:rFonts w:ascii="Times New Roman" w:hAnsi="Times New Roman"/>
          <w:sz w:val="24"/>
          <w:szCs w:val="24"/>
        </w:rPr>
      </w:pPr>
      <w:r w:rsidRPr="00F2627F">
        <w:rPr>
          <w:rFonts w:ascii="Times New Roman" w:hAnsi="Times New Roman"/>
          <w:sz w:val="24"/>
          <w:szCs w:val="24"/>
        </w:rPr>
        <w:t xml:space="preserve">Nel caso di operazioni tra la controllante e le sue controllate oggetto di un difforme trattamento fiscale, l’imposta non </w:t>
      </w:r>
      <w:r>
        <w:rPr>
          <w:rFonts w:ascii="Times New Roman" w:hAnsi="Times New Roman"/>
          <w:sz w:val="24"/>
          <w:szCs w:val="24"/>
        </w:rPr>
        <w:t xml:space="preserve">è </w:t>
      </w:r>
      <w:r w:rsidRPr="00F2627F">
        <w:rPr>
          <w:rFonts w:ascii="Times New Roman" w:hAnsi="Times New Roman"/>
          <w:sz w:val="24"/>
          <w:szCs w:val="24"/>
        </w:rPr>
        <w:t xml:space="preserve">oggetto di elisione.  </w:t>
      </w:r>
      <w:r>
        <w:rPr>
          <w:rFonts w:ascii="Times New Roman" w:hAnsi="Times New Roman"/>
          <w:sz w:val="24"/>
          <w:szCs w:val="24"/>
        </w:rPr>
        <w:t xml:space="preserve">Ad esempio </w:t>
      </w:r>
      <w:r w:rsidRPr="00F2627F">
        <w:rPr>
          <w:rFonts w:ascii="Times New Roman" w:hAnsi="Times New Roman"/>
          <w:sz w:val="24"/>
          <w:szCs w:val="24"/>
        </w:rPr>
        <w:t>l’imposta sul valore aggiunto</w:t>
      </w:r>
      <w:r>
        <w:rPr>
          <w:rFonts w:ascii="Times New Roman" w:hAnsi="Times New Roman"/>
          <w:sz w:val="24"/>
          <w:szCs w:val="24"/>
        </w:rPr>
        <w:t xml:space="preserve"> pagata dalle amministrazioni pubbliche a componenti del gruppo per le quali l’IVA è detraibile</w:t>
      </w:r>
      <w:r w:rsidRPr="00F2627F">
        <w:rPr>
          <w:rFonts w:ascii="Times New Roman" w:hAnsi="Times New Roman"/>
          <w:sz w:val="24"/>
          <w:szCs w:val="24"/>
        </w:rPr>
        <w:t>,</w:t>
      </w:r>
      <w:r>
        <w:rPr>
          <w:rFonts w:ascii="Times New Roman" w:hAnsi="Times New Roman"/>
          <w:sz w:val="24"/>
          <w:szCs w:val="24"/>
        </w:rPr>
        <w:t xml:space="preserve"> non è oggetto di eliminazione e rientra tra i costi del </w:t>
      </w:r>
      <w:r w:rsidRPr="00F2627F">
        <w:rPr>
          <w:rFonts w:ascii="Times New Roman" w:hAnsi="Times New Roman"/>
          <w:sz w:val="24"/>
          <w:szCs w:val="24"/>
        </w:rPr>
        <w:t>conto economico consolidato</w:t>
      </w:r>
      <w:r>
        <w:rPr>
          <w:rFonts w:ascii="Times New Roman" w:hAnsi="Times New Roman"/>
          <w:sz w:val="24"/>
          <w:szCs w:val="24"/>
        </w:rPr>
        <w:t xml:space="preserve">. </w:t>
      </w:r>
    </w:p>
    <w:p w:rsidR="00D84F6B" w:rsidRDefault="00D84F6B" w:rsidP="00F2627F">
      <w:pPr>
        <w:pStyle w:val="Paragrafoelenco"/>
        <w:tabs>
          <w:tab w:val="left" w:pos="284"/>
        </w:tabs>
        <w:spacing w:line="240" w:lineRule="auto"/>
        <w:ind w:left="0"/>
        <w:jc w:val="both"/>
        <w:rPr>
          <w:rFonts w:ascii="Times New Roman" w:hAnsi="Times New Roman"/>
          <w:sz w:val="24"/>
          <w:szCs w:val="24"/>
        </w:rPr>
      </w:pPr>
    </w:p>
    <w:p w:rsidR="00D84F6B" w:rsidRDefault="00D84F6B" w:rsidP="00E539C0">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L’eliminazione di dati contabili può essere evitata se relativa ad operazioni infragruppo di importo irrilevante, indicandone il motivo nella nota integrativa</w:t>
      </w:r>
      <w:r w:rsidRPr="001F553B">
        <w:rPr>
          <w:rFonts w:ascii="Times New Roman" w:hAnsi="Times New Roman"/>
          <w:sz w:val="24"/>
          <w:szCs w:val="24"/>
        </w:rPr>
        <w:t>. L’irrilevanza degli elementi patrimoniali ed economici è misurata rispettivamente con riferimento all’ammontare complessivo degli elementi patrimoniali ed economici di cui fanno parte.</w:t>
      </w:r>
    </w:p>
    <w:p w:rsidR="00D84F6B" w:rsidRDefault="00D84F6B" w:rsidP="00E539C0">
      <w:pPr>
        <w:pStyle w:val="Paragrafoelenco"/>
        <w:tabs>
          <w:tab w:val="left" w:pos="284"/>
        </w:tabs>
        <w:spacing w:line="240" w:lineRule="auto"/>
        <w:ind w:left="0"/>
        <w:jc w:val="both"/>
        <w:rPr>
          <w:rFonts w:ascii="Times New Roman" w:hAnsi="Times New Roman"/>
          <w:sz w:val="24"/>
          <w:szCs w:val="24"/>
        </w:rPr>
      </w:pPr>
    </w:p>
    <w:p w:rsidR="00D84F6B" w:rsidRDefault="00D84F6B" w:rsidP="00F2627F">
      <w:pPr>
        <w:pStyle w:val="Paragrafoelenco"/>
        <w:tabs>
          <w:tab w:val="left" w:pos="284"/>
        </w:tabs>
        <w:spacing w:line="240" w:lineRule="auto"/>
        <w:ind w:left="0"/>
        <w:jc w:val="both"/>
        <w:rPr>
          <w:rFonts w:ascii="Times New Roman" w:hAnsi="Times New Roman"/>
          <w:sz w:val="24"/>
          <w:szCs w:val="24"/>
        </w:rPr>
      </w:pPr>
    </w:p>
    <w:p w:rsidR="00D84F6B" w:rsidRDefault="00D84F6B" w:rsidP="00F2627F">
      <w:pPr>
        <w:pStyle w:val="Paragrafoelenco"/>
        <w:tabs>
          <w:tab w:val="left" w:pos="284"/>
        </w:tabs>
        <w:spacing w:line="240" w:lineRule="auto"/>
        <w:ind w:left="0"/>
        <w:jc w:val="both"/>
        <w:rPr>
          <w:rFonts w:ascii="Times New Roman" w:hAnsi="Times New Roman"/>
          <w:sz w:val="24"/>
          <w:szCs w:val="24"/>
        </w:rPr>
      </w:pPr>
      <w:r w:rsidRPr="00446FF2">
        <w:rPr>
          <w:rFonts w:ascii="Times New Roman" w:hAnsi="Times New Roman"/>
          <w:b/>
          <w:sz w:val="24"/>
          <w:szCs w:val="24"/>
        </w:rPr>
        <w:t>4.3</w:t>
      </w:r>
      <w:r>
        <w:rPr>
          <w:rFonts w:ascii="Times New Roman" w:hAnsi="Times New Roman"/>
          <w:sz w:val="24"/>
          <w:szCs w:val="24"/>
        </w:rPr>
        <w:t xml:space="preserve"> </w:t>
      </w:r>
      <w:r w:rsidRPr="00446FF2">
        <w:rPr>
          <w:rFonts w:ascii="Times New Roman" w:hAnsi="Times New Roman"/>
          <w:b/>
          <w:sz w:val="24"/>
          <w:szCs w:val="24"/>
        </w:rPr>
        <w:t>Identificazione delle quote di pertinenza di terzi</w:t>
      </w:r>
    </w:p>
    <w:p w:rsidR="00D84F6B" w:rsidRDefault="00D84F6B" w:rsidP="00F2627F">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Nel conto economico e nello stato patrimoniale di ciascun ente o gruppo intermedio che compone il gruppo, rettificato secondo le modalità indicate nel paragrafo precedente, è identificata la quota di pertinenza di terzi del risultato economico d’esercizio, positivo o negativo, e la quota di pertinenza di terzi nel patrimonio netto, distinta da quella di pertinenza della capogruppo. </w:t>
      </w:r>
    </w:p>
    <w:p w:rsidR="00D84F6B" w:rsidRDefault="00D84F6B" w:rsidP="00F2627F">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Le quote di pertinenza di terzi nel patrimonio netto consistono nel valore, alla data di acquisto, della partecipazione e nella quota di pertinenza di terzi delle variazioni del patrimonio netto avvenute dall’acquisizione. </w:t>
      </w:r>
    </w:p>
    <w:p w:rsidR="00D84F6B" w:rsidRDefault="00D84F6B" w:rsidP="00A3656B">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Se una società del gruppo </w:t>
      </w:r>
      <w:r w:rsidRPr="006159BD">
        <w:rPr>
          <w:rFonts w:ascii="Times New Roman" w:hAnsi="Times New Roman"/>
          <w:sz w:val="24"/>
          <w:szCs w:val="24"/>
        </w:rPr>
        <w:t>ha emesso azioni privilegiate cumulative, possedute da azionisti di minoranza e classificate come patrimonio netto, la quota di competenza del risultato economico d’esercizio della capogruppo è determinata tenendo conto dei dividendi spettanti agli azionisti privilegiati, anche se la loro distribuzione non è stata deliberata.</w:t>
      </w:r>
      <w:r>
        <w:rPr>
          <w:rFonts w:ascii="Times New Roman" w:hAnsi="Times New Roman"/>
          <w:sz w:val="24"/>
          <w:szCs w:val="24"/>
        </w:rPr>
        <w:t xml:space="preserve"> </w:t>
      </w:r>
    </w:p>
    <w:p w:rsidR="00D84F6B" w:rsidRPr="00A3656B" w:rsidRDefault="00D84F6B" w:rsidP="00A3656B">
      <w:pPr>
        <w:pStyle w:val="Paragrafoelenco"/>
        <w:tabs>
          <w:tab w:val="left" w:pos="284"/>
        </w:tabs>
        <w:spacing w:line="240" w:lineRule="auto"/>
        <w:ind w:left="0"/>
        <w:jc w:val="both"/>
        <w:rPr>
          <w:rFonts w:ascii="Times New Roman" w:hAnsi="Times New Roman"/>
          <w:sz w:val="24"/>
          <w:szCs w:val="24"/>
        </w:rPr>
      </w:pPr>
      <w:r w:rsidRPr="00A3656B">
        <w:rPr>
          <w:rFonts w:ascii="Times New Roman" w:hAnsi="Times New Roman"/>
          <w:sz w:val="24"/>
          <w:szCs w:val="24"/>
        </w:rPr>
        <w:t xml:space="preserve">Nel caso in cui </w:t>
      </w:r>
      <w:r>
        <w:rPr>
          <w:rFonts w:ascii="Times New Roman" w:hAnsi="Times New Roman"/>
          <w:sz w:val="24"/>
          <w:szCs w:val="24"/>
        </w:rPr>
        <w:t xml:space="preserve">in un ente strumentale o in una società controllata </w:t>
      </w:r>
      <w:r w:rsidRPr="00A3656B">
        <w:rPr>
          <w:rFonts w:ascii="Times New Roman" w:hAnsi="Times New Roman"/>
          <w:sz w:val="24"/>
          <w:szCs w:val="24"/>
        </w:rPr>
        <w:t>le perdite riferibili a terzi</w:t>
      </w:r>
      <w:r>
        <w:rPr>
          <w:rFonts w:ascii="Times New Roman" w:hAnsi="Times New Roman"/>
          <w:sz w:val="24"/>
          <w:szCs w:val="24"/>
        </w:rPr>
        <w:t xml:space="preserve"> </w:t>
      </w:r>
      <w:r w:rsidRPr="00A3656B">
        <w:rPr>
          <w:rFonts w:ascii="Times New Roman" w:hAnsi="Times New Roman"/>
          <w:sz w:val="24"/>
          <w:szCs w:val="24"/>
        </w:rPr>
        <w:t xml:space="preserve"> eccedano la loro quota di pertinenza del patrimonio netto, l’eccedenza –  ed ogni ulteriore perdita attribuibile ai terzi –  è imputata alla </w:t>
      </w:r>
      <w:r>
        <w:rPr>
          <w:rFonts w:ascii="Times New Roman" w:hAnsi="Times New Roman"/>
          <w:sz w:val="24"/>
          <w:szCs w:val="24"/>
        </w:rPr>
        <w:t>capogruppo</w:t>
      </w:r>
      <w:r w:rsidRPr="00A3656B">
        <w:rPr>
          <w:rFonts w:ascii="Times New Roman" w:hAnsi="Times New Roman"/>
          <w:sz w:val="24"/>
          <w:szCs w:val="24"/>
        </w:rPr>
        <w:t xml:space="preserve">. Eccezioni sono ammesse nel caso in cui  i terzi si siano obbligati, tramite un’obbligazione giuridicamente vincolante, a coprire la perdita. Se, successivamente, la </w:t>
      </w:r>
      <w:r>
        <w:rPr>
          <w:rFonts w:ascii="Times New Roman" w:hAnsi="Times New Roman"/>
          <w:sz w:val="24"/>
          <w:szCs w:val="24"/>
        </w:rPr>
        <w:t>componente del gruppo</w:t>
      </w:r>
      <w:r w:rsidRPr="00A3656B">
        <w:rPr>
          <w:rFonts w:ascii="Times New Roman" w:hAnsi="Times New Roman"/>
          <w:sz w:val="24"/>
          <w:szCs w:val="24"/>
        </w:rPr>
        <w:t xml:space="preserve"> realizza un utile, tale risultato è attribuito alla compagine proprietaria della </w:t>
      </w:r>
      <w:r>
        <w:rPr>
          <w:rFonts w:ascii="Times New Roman" w:hAnsi="Times New Roman"/>
          <w:sz w:val="24"/>
          <w:szCs w:val="24"/>
        </w:rPr>
        <w:t xml:space="preserve">capogruppo </w:t>
      </w:r>
      <w:r w:rsidRPr="00A3656B">
        <w:rPr>
          <w:rFonts w:ascii="Times New Roman" w:hAnsi="Times New Roman"/>
          <w:sz w:val="24"/>
          <w:szCs w:val="24"/>
        </w:rPr>
        <w:t xml:space="preserve">fino a concorrenza delle perdite di pertinenza dei terzi, proprietari di minoranza, che erano state, in precedenza, assorbite dalla </w:t>
      </w:r>
      <w:r>
        <w:rPr>
          <w:rFonts w:ascii="Times New Roman" w:hAnsi="Times New Roman"/>
          <w:sz w:val="24"/>
          <w:szCs w:val="24"/>
        </w:rPr>
        <w:t>capogruppo</w:t>
      </w:r>
      <w:r w:rsidRPr="00A3656B">
        <w:rPr>
          <w:rFonts w:ascii="Times New Roman" w:hAnsi="Times New Roman"/>
          <w:sz w:val="24"/>
          <w:szCs w:val="24"/>
        </w:rPr>
        <w:t>.</w:t>
      </w:r>
    </w:p>
    <w:p w:rsidR="00D84F6B" w:rsidRDefault="00D84F6B" w:rsidP="00F2627F">
      <w:pPr>
        <w:pStyle w:val="Paragrafoelenco"/>
        <w:tabs>
          <w:tab w:val="left" w:pos="284"/>
        </w:tabs>
        <w:spacing w:line="240" w:lineRule="auto"/>
        <w:ind w:left="0"/>
        <w:jc w:val="both"/>
        <w:rPr>
          <w:rFonts w:ascii="Times New Roman" w:hAnsi="Times New Roman"/>
          <w:sz w:val="24"/>
          <w:szCs w:val="24"/>
        </w:rPr>
      </w:pPr>
    </w:p>
    <w:p w:rsidR="00D84F6B" w:rsidRDefault="00D84F6B" w:rsidP="00F2627F">
      <w:pPr>
        <w:pStyle w:val="Paragrafoelenco"/>
        <w:tabs>
          <w:tab w:val="left" w:pos="284"/>
        </w:tabs>
        <w:spacing w:line="240" w:lineRule="auto"/>
        <w:ind w:left="0"/>
        <w:jc w:val="both"/>
        <w:rPr>
          <w:rFonts w:ascii="Times New Roman" w:hAnsi="Times New Roman"/>
          <w:sz w:val="24"/>
          <w:szCs w:val="24"/>
        </w:rPr>
      </w:pPr>
    </w:p>
    <w:p w:rsidR="00D84F6B" w:rsidRPr="00F2627F" w:rsidRDefault="00D84F6B" w:rsidP="00F2627F">
      <w:pPr>
        <w:pStyle w:val="Paragrafoelenco"/>
        <w:tabs>
          <w:tab w:val="left" w:pos="284"/>
        </w:tabs>
        <w:spacing w:line="240" w:lineRule="auto"/>
        <w:ind w:left="0"/>
        <w:jc w:val="both"/>
        <w:rPr>
          <w:rFonts w:ascii="Times New Roman" w:hAnsi="Times New Roman"/>
          <w:sz w:val="24"/>
          <w:szCs w:val="24"/>
        </w:rPr>
      </w:pPr>
      <w:r w:rsidRPr="00B0635E">
        <w:rPr>
          <w:rFonts w:ascii="Times New Roman" w:hAnsi="Times New Roman"/>
          <w:b/>
          <w:sz w:val="24"/>
          <w:szCs w:val="24"/>
        </w:rPr>
        <w:t>4.</w:t>
      </w:r>
      <w:r>
        <w:rPr>
          <w:rFonts w:ascii="Times New Roman" w:hAnsi="Times New Roman"/>
          <w:b/>
          <w:sz w:val="24"/>
          <w:szCs w:val="24"/>
        </w:rPr>
        <w:t>4</w:t>
      </w:r>
      <w:r>
        <w:rPr>
          <w:rFonts w:ascii="Times New Roman" w:hAnsi="Times New Roman"/>
          <w:sz w:val="24"/>
          <w:szCs w:val="24"/>
        </w:rPr>
        <w:t xml:space="preserve"> </w:t>
      </w:r>
      <w:r w:rsidRPr="00B0635E">
        <w:rPr>
          <w:rFonts w:ascii="Times New Roman" w:hAnsi="Times New Roman"/>
          <w:b/>
          <w:sz w:val="24"/>
          <w:szCs w:val="24"/>
        </w:rPr>
        <w:t>Consolidamento dei bilanci</w:t>
      </w:r>
    </w:p>
    <w:p w:rsidR="00D84F6B" w:rsidRDefault="00D84F6B" w:rsidP="002B7450">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I bilanci della capogruppo e dei componenti del gruppo, rettificati secondo le modalità indicate nei paragrafi precedenti sono aggregati voce per voce, </w:t>
      </w:r>
      <w:r w:rsidRPr="00B0635E">
        <w:rPr>
          <w:rFonts w:ascii="Times New Roman" w:hAnsi="Times New Roman"/>
          <w:sz w:val="24"/>
          <w:szCs w:val="24"/>
        </w:rPr>
        <w:t>fa</w:t>
      </w:r>
      <w:r>
        <w:rPr>
          <w:rFonts w:ascii="Times New Roman" w:hAnsi="Times New Roman"/>
          <w:sz w:val="24"/>
          <w:szCs w:val="24"/>
        </w:rPr>
        <w:t>cendo</w:t>
      </w:r>
      <w:r w:rsidRPr="00B0635E">
        <w:rPr>
          <w:rFonts w:ascii="Times New Roman" w:hAnsi="Times New Roman"/>
          <w:sz w:val="24"/>
          <w:szCs w:val="24"/>
        </w:rPr>
        <w:t xml:space="preserve"> riferimento ai </w:t>
      </w:r>
      <w:r>
        <w:rPr>
          <w:rFonts w:ascii="Times New Roman" w:hAnsi="Times New Roman"/>
          <w:sz w:val="24"/>
          <w:szCs w:val="24"/>
        </w:rPr>
        <w:t xml:space="preserve">singoli </w:t>
      </w:r>
      <w:r w:rsidRPr="00B0635E">
        <w:rPr>
          <w:rFonts w:ascii="Times New Roman" w:hAnsi="Times New Roman"/>
          <w:sz w:val="24"/>
          <w:szCs w:val="24"/>
        </w:rPr>
        <w:t>valori contabili</w:t>
      </w:r>
      <w:r>
        <w:rPr>
          <w:rFonts w:ascii="Times New Roman" w:hAnsi="Times New Roman"/>
          <w:sz w:val="24"/>
          <w:szCs w:val="24"/>
        </w:rPr>
        <w:t>, rettificati sommando tra loro i corrispondenti valori dello stato patrimoniale (attivo, passivo e patrimonio netto) e del conto economico (ricavi e proventi, costi e oneri):</w:t>
      </w:r>
    </w:p>
    <w:p w:rsidR="00D84F6B" w:rsidRDefault="00D84F6B" w:rsidP="00B0635E">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per l’intero importo delle voci contabili con riferimento ai bilanci degli enti strumentali e delle società controllate (cd. metodo integrale);</w:t>
      </w:r>
    </w:p>
    <w:p w:rsidR="00D84F6B" w:rsidRDefault="00D84F6B" w:rsidP="00B0635E">
      <w:pPr>
        <w:pStyle w:val="Paragrafoelenco"/>
        <w:tabs>
          <w:tab w:val="left" w:pos="284"/>
        </w:tabs>
        <w:spacing w:line="240" w:lineRule="auto"/>
        <w:ind w:left="0"/>
        <w:jc w:val="both"/>
        <w:rPr>
          <w:rFonts w:ascii="Times New Roman" w:hAnsi="Times New Roman"/>
          <w:sz w:val="24"/>
          <w:szCs w:val="24"/>
        </w:rPr>
      </w:pPr>
      <w:r>
        <w:rPr>
          <w:rFonts w:ascii="Times New Roman" w:hAnsi="Times New Roman"/>
          <w:sz w:val="24"/>
          <w:szCs w:val="24"/>
        </w:rPr>
        <w:t>- per un importo proporzionale alla quota di partecipazione, con riferimento ai bilanci delle società partecipate (cd. metodo proporzionale).</w:t>
      </w:r>
    </w:p>
    <w:p w:rsidR="00D84F6B" w:rsidRDefault="00D84F6B" w:rsidP="00B0635E">
      <w:pPr>
        <w:spacing w:after="0" w:line="240" w:lineRule="auto"/>
        <w:contextualSpacing/>
        <w:jc w:val="both"/>
        <w:rPr>
          <w:rFonts w:ascii="Times New Roman" w:hAnsi="Times New Roman"/>
          <w:sz w:val="24"/>
          <w:szCs w:val="24"/>
        </w:rPr>
      </w:pPr>
      <w:r>
        <w:rPr>
          <w:rFonts w:ascii="Times New Roman" w:hAnsi="Times New Roman"/>
          <w:sz w:val="24"/>
          <w:szCs w:val="24"/>
        </w:rPr>
        <w:t xml:space="preserve">Nel bilancio consolidato è rappresentata la quota di pertinenza di terzi, sia nello stato patrimoniale che nel conto economico, distintamente da quella della capogruppo. </w:t>
      </w:r>
    </w:p>
    <w:p w:rsidR="00D84F6B" w:rsidRDefault="00D84F6B" w:rsidP="002B7450">
      <w:pPr>
        <w:pStyle w:val="Paragrafoelenco"/>
        <w:tabs>
          <w:tab w:val="left" w:pos="284"/>
        </w:tabs>
        <w:spacing w:line="240" w:lineRule="auto"/>
        <w:ind w:left="0"/>
        <w:jc w:val="both"/>
        <w:rPr>
          <w:rFonts w:ascii="Times New Roman" w:hAnsi="Times New Roman"/>
          <w:sz w:val="24"/>
          <w:szCs w:val="24"/>
        </w:rPr>
      </w:pPr>
    </w:p>
    <w:p w:rsidR="00D84F6B" w:rsidRDefault="00D84F6B" w:rsidP="002B7450">
      <w:pPr>
        <w:pStyle w:val="Paragrafoelenco"/>
        <w:tabs>
          <w:tab w:val="left" w:pos="284"/>
        </w:tabs>
        <w:spacing w:line="240" w:lineRule="auto"/>
        <w:ind w:left="0"/>
        <w:jc w:val="both"/>
        <w:rPr>
          <w:rFonts w:ascii="Times New Roman" w:hAnsi="Times New Roman"/>
          <w:sz w:val="24"/>
          <w:szCs w:val="24"/>
        </w:rPr>
      </w:pPr>
    </w:p>
    <w:p w:rsidR="00D84F6B" w:rsidRPr="008A03D3" w:rsidRDefault="00D84F6B" w:rsidP="008A03D3">
      <w:pPr>
        <w:pStyle w:val="Paragrafoelenco"/>
        <w:numPr>
          <w:ilvl w:val="0"/>
          <w:numId w:val="1"/>
        </w:numPr>
        <w:tabs>
          <w:tab w:val="left" w:pos="284"/>
        </w:tabs>
        <w:spacing w:line="240" w:lineRule="auto"/>
        <w:ind w:left="0" w:firstLine="0"/>
        <w:jc w:val="both"/>
        <w:rPr>
          <w:rFonts w:ascii="Times New Roman" w:hAnsi="Times New Roman"/>
          <w:sz w:val="24"/>
          <w:szCs w:val="24"/>
        </w:rPr>
      </w:pPr>
      <w:r w:rsidRPr="008A03D3">
        <w:rPr>
          <w:rFonts w:ascii="Times New Roman" w:hAnsi="Times New Roman"/>
          <w:b/>
          <w:sz w:val="24"/>
          <w:szCs w:val="24"/>
        </w:rPr>
        <w:t>La nota integrativa al bilancio consolidato</w:t>
      </w:r>
    </w:p>
    <w:p w:rsidR="00D84F6B" w:rsidRPr="008A03D3" w:rsidRDefault="00D84F6B" w:rsidP="008A03D3">
      <w:pPr>
        <w:pStyle w:val="Paragrafoelenco"/>
        <w:tabs>
          <w:tab w:val="left" w:pos="284"/>
        </w:tabs>
        <w:spacing w:line="240" w:lineRule="auto"/>
        <w:ind w:left="0"/>
        <w:jc w:val="both"/>
        <w:rPr>
          <w:rFonts w:ascii="Times New Roman" w:hAnsi="Times New Roman"/>
          <w:sz w:val="24"/>
          <w:szCs w:val="24"/>
        </w:rPr>
      </w:pPr>
      <w:r w:rsidRPr="008A03D3">
        <w:rPr>
          <w:rFonts w:ascii="Times New Roman" w:hAnsi="Times New Roman"/>
          <w:sz w:val="24"/>
          <w:szCs w:val="24"/>
        </w:rPr>
        <w:t>Al bilancio consolidato è allegata una relazione sulla gestione che comprende la nota integrativa.</w:t>
      </w:r>
    </w:p>
    <w:p w:rsidR="00D84F6B" w:rsidRDefault="00D84F6B" w:rsidP="008A03D3">
      <w:pPr>
        <w:tabs>
          <w:tab w:val="left" w:pos="284"/>
        </w:tabs>
        <w:spacing w:line="240" w:lineRule="auto"/>
        <w:contextualSpacing/>
        <w:jc w:val="both"/>
        <w:rPr>
          <w:rFonts w:ascii="Times New Roman" w:hAnsi="Times New Roman"/>
          <w:sz w:val="24"/>
          <w:szCs w:val="24"/>
          <w:lang w:eastAsia="it-IT"/>
        </w:rPr>
      </w:pPr>
      <w:r>
        <w:rPr>
          <w:rFonts w:ascii="Times New Roman" w:hAnsi="Times New Roman"/>
          <w:sz w:val="24"/>
          <w:szCs w:val="24"/>
        </w:rPr>
        <w:t>La nota integrativa indica</w:t>
      </w:r>
      <w:r>
        <w:rPr>
          <w:rFonts w:ascii="Times New Roman" w:hAnsi="Times New Roman"/>
          <w:sz w:val="24"/>
          <w:szCs w:val="24"/>
          <w:lang w:eastAsia="it-IT"/>
        </w:rPr>
        <w:t>:</w:t>
      </w:r>
    </w:p>
    <w:p w:rsidR="00D84F6B" w:rsidRDefault="00D84F6B" w:rsidP="008A03D3">
      <w:pPr>
        <w:autoSpaceDE w:val="0"/>
        <w:autoSpaceDN w:val="0"/>
        <w:adjustRightInd w:val="0"/>
        <w:spacing w:after="0" w:line="240" w:lineRule="auto"/>
        <w:contextualSpacing/>
        <w:rPr>
          <w:rFonts w:ascii="Times New Roman" w:hAnsi="Times New Roman"/>
          <w:sz w:val="24"/>
          <w:szCs w:val="24"/>
          <w:lang w:eastAsia="it-IT"/>
        </w:rPr>
      </w:pPr>
      <w:r>
        <w:rPr>
          <w:rFonts w:ascii="Times New Roman" w:hAnsi="Times New Roman"/>
          <w:sz w:val="24"/>
          <w:szCs w:val="24"/>
          <w:lang w:eastAsia="it-IT"/>
        </w:rPr>
        <w:t>- i criteri di valutazione applicati;</w:t>
      </w:r>
    </w:p>
    <w:p w:rsidR="00D84F6B" w:rsidRDefault="00D84F6B" w:rsidP="008A03D3">
      <w:pPr>
        <w:autoSpaceDE w:val="0"/>
        <w:autoSpaceDN w:val="0"/>
        <w:adjustRightInd w:val="0"/>
        <w:spacing w:after="0" w:line="240" w:lineRule="auto"/>
        <w:contextualSpacing/>
        <w:rPr>
          <w:rFonts w:ascii="Times New Roman" w:hAnsi="Times New Roman"/>
          <w:sz w:val="24"/>
          <w:szCs w:val="24"/>
          <w:lang w:eastAsia="it-IT"/>
        </w:rPr>
      </w:pPr>
      <w:r>
        <w:rPr>
          <w:rFonts w:ascii="Times New Roman" w:hAnsi="Times New Roman"/>
          <w:sz w:val="24"/>
          <w:szCs w:val="24"/>
          <w:lang w:eastAsia="it-IT"/>
        </w:rPr>
        <w:t>- le ragioni delle più significative variazioni intervenute nella consistenza delle voci dell’attivo e del passivo rispetto all’esercizio precedente (escluso il primo anno di elaborazione del bilancio consolidato);</w:t>
      </w:r>
    </w:p>
    <w:p w:rsidR="00D84F6B" w:rsidRDefault="00D84F6B" w:rsidP="008A03D3">
      <w:pPr>
        <w:autoSpaceDE w:val="0"/>
        <w:autoSpaceDN w:val="0"/>
        <w:adjustRightInd w:val="0"/>
        <w:spacing w:after="0" w:line="240" w:lineRule="auto"/>
        <w:contextualSpacing/>
        <w:rPr>
          <w:rFonts w:ascii="Times New Roman" w:hAnsi="Times New Roman"/>
          <w:sz w:val="24"/>
          <w:szCs w:val="24"/>
          <w:lang w:eastAsia="it-IT"/>
        </w:rPr>
      </w:pPr>
      <w:r>
        <w:rPr>
          <w:rFonts w:ascii="Times New Roman" w:hAnsi="Times New Roman"/>
          <w:sz w:val="24"/>
          <w:szCs w:val="24"/>
          <w:lang w:eastAsia="it-IT"/>
        </w:rPr>
        <w:t>- distintamente per ciascuna voce, l’ammontare dei crediti e dei debiti di durata residua superiore a cinque anni, e dei debiti assistiti da garanzie reali su beni di imprese incluse nel consolidamento, con specifica indicazione della natura delle garanzie;</w:t>
      </w:r>
    </w:p>
    <w:p w:rsidR="00D84F6B" w:rsidRDefault="00D84F6B" w:rsidP="008A03D3">
      <w:pPr>
        <w:autoSpaceDE w:val="0"/>
        <w:autoSpaceDN w:val="0"/>
        <w:adjustRightInd w:val="0"/>
        <w:spacing w:after="0" w:line="240" w:lineRule="auto"/>
        <w:contextualSpacing/>
        <w:rPr>
          <w:rFonts w:ascii="Times New Roman" w:hAnsi="Times New Roman"/>
          <w:sz w:val="24"/>
          <w:szCs w:val="24"/>
          <w:lang w:eastAsia="it-IT"/>
        </w:rPr>
      </w:pPr>
      <w:r>
        <w:rPr>
          <w:rFonts w:ascii="Times New Roman" w:hAnsi="Times New Roman"/>
          <w:sz w:val="24"/>
          <w:szCs w:val="24"/>
          <w:lang w:eastAsia="it-IT"/>
        </w:rPr>
        <w:t>- la composizione delle voci “ratei e risconti” e della voce “altri accantonamenti” dello stato patrimoniale, quando il loro ammontare è significativo;</w:t>
      </w:r>
    </w:p>
    <w:p w:rsidR="00D84F6B" w:rsidRDefault="00D84F6B" w:rsidP="00224A69">
      <w:pPr>
        <w:autoSpaceDE w:val="0"/>
        <w:autoSpaceDN w:val="0"/>
        <w:adjustRightInd w:val="0"/>
        <w:spacing w:after="0" w:line="240" w:lineRule="auto"/>
        <w:rPr>
          <w:rFonts w:ascii="Times New Roman" w:hAnsi="Times New Roman"/>
          <w:sz w:val="24"/>
          <w:szCs w:val="24"/>
          <w:lang w:eastAsia="it-IT"/>
        </w:rPr>
      </w:pPr>
      <w:r>
        <w:rPr>
          <w:rFonts w:ascii="Times New Roman" w:hAnsi="Times New Roman"/>
          <w:sz w:val="24"/>
          <w:szCs w:val="24"/>
          <w:lang w:eastAsia="it-IT"/>
        </w:rPr>
        <w:t>- la suddivisione degli interessi e degli altri oneri finanziari tra le diverse tipologie di finanziamento;</w:t>
      </w:r>
    </w:p>
    <w:p w:rsidR="00D84F6B" w:rsidRDefault="00D84F6B" w:rsidP="00224A69">
      <w:pPr>
        <w:autoSpaceDE w:val="0"/>
        <w:autoSpaceDN w:val="0"/>
        <w:adjustRightInd w:val="0"/>
        <w:spacing w:after="0" w:line="240" w:lineRule="auto"/>
        <w:rPr>
          <w:rFonts w:ascii="Times New Roman" w:hAnsi="Times New Roman"/>
          <w:sz w:val="24"/>
          <w:szCs w:val="24"/>
          <w:lang w:eastAsia="it-IT"/>
        </w:rPr>
      </w:pPr>
      <w:r>
        <w:rPr>
          <w:rFonts w:ascii="Times New Roman" w:hAnsi="Times New Roman"/>
          <w:sz w:val="24"/>
          <w:szCs w:val="24"/>
          <w:lang w:eastAsia="it-IT"/>
        </w:rPr>
        <w:t>- la composizione delle voci “proventi straordinari” e “oneri straordinari”, quando il loro ammontare è significativo;</w:t>
      </w:r>
    </w:p>
    <w:p w:rsidR="00D84F6B" w:rsidRDefault="00D84F6B" w:rsidP="00224A69">
      <w:pPr>
        <w:autoSpaceDE w:val="0"/>
        <w:autoSpaceDN w:val="0"/>
        <w:adjustRightInd w:val="0"/>
        <w:spacing w:after="0" w:line="240" w:lineRule="auto"/>
        <w:rPr>
          <w:rFonts w:ascii="Times New Roman" w:hAnsi="Times New Roman"/>
          <w:sz w:val="24"/>
          <w:szCs w:val="24"/>
          <w:lang w:eastAsia="it-IT"/>
        </w:rPr>
      </w:pPr>
      <w:r>
        <w:rPr>
          <w:rFonts w:ascii="Times New Roman" w:hAnsi="Times New Roman"/>
          <w:sz w:val="24"/>
          <w:szCs w:val="24"/>
          <w:lang w:eastAsia="it-IT"/>
        </w:rPr>
        <w:t>-</w:t>
      </w:r>
      <w:r w:rsidR="00337D4E">
        <w:rPr>
          <w:rFonts w:ascii="Times New Roman" w:hAnsi="Times New Roman"/>
          <w:sz w:val="24"/>
          <w:szCs w:val="24"/>
          <w:lang w:eastAsia="it-IT"/>
        </w:rPr>
        <w:t xml:space="preserve"> </w:t>
      </w:r>
      <w:r>
        <w:rPr>
          <w:rFonts w:ascii="Times New Roman" w:hAnsi="Times New Roman"/>
          <w:sz w:val="24"/>
          <w:szCs w:val="24"/>
          <w:lang w:eastAsia="it-IT"/>
        </w:rPr>
        <w:t>cumulativamente per ciascuna categoria, l’ammontare dei compensi spettanti agli amministratori e ai sindaci dell’impresa capogruppo per lo svolgimento di tali funzioni anche in altre imprese incluse nel consolidamento;</w:t>
      </w:r>
    </w:p>
    <w:p w:rsidR="00D84F6B" w:rsidRDefault="00D84F6B" w:rsidP="00224A69">
      <w:pPr>
        <w:autoSpaceDE w:val="0"/>
        <w:autoSpaceDN w:val="0"/>
        <w:adjustRightInd w:val="0"/>
        <w:spacing w:after="0" w:line="240" w:lineRule="auto"/>
        <w:rPr>
          <w:rFonts w:ascii="Times New Roman" w:hAnsi="Times New Roman"/>
          <w:sz w:val="24"/>
          <w:szCs w:val="24"/>
          <w:lang w:eastAsia="it-IT"/>
        </w:rPr>
      </w:pPr>
      <w:r>
        <w:rPr>
          <w:rFonts w:ascii="Times New Roman" w:hAnsi="Times New Roman"/>
          <w:sz w:val="24"/>
          <w:szCs w:val="24"/>
          <w:lang w:eastAsia="it-IT"/>
        </w:rPr>
        <w:t xml:space="preserve">- per ciascuna categoria di strumenti finanziari derivati il loro fair </w:t>
      </w:r>
      <w:proofErr w:type="spellStart"/>
      <w:r>
        <w:rPr>
          <w:rFonts w:ascii="Times New Roman" w:hAnsi="Times New Roman"/>
          <w:sz w:val="24"/>
          <w:szCs w:val="24"/>
          <w:lang w:eastAsia="it-IT"/>
        </w:rPr>
        <w:t>value</w:t>
      </w:r>
      <w:proofErr w:type="spellEnd"/>
      <w:r>
        <w:rPr>
          <w:rFonts w:ascii="Times New Roman" w:hAnsi="Times New Roman"/>
          <w:sz w:val="24"/>
          <w:szCs w:val="24"/>
          <w:lang w:eastAsia="it-IT"/>
        </w:rPr>
        <w:t xml:space="preserve"> ed informazioni sulla loro entità e sulla loro natura.</w:t>
      </w:r>
    </w:p>
    <w:p w:rsidR="00D84F6B" w:rsidRDefault="00D84F6B" w:rsidP="00224A6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it-IT"/>
        </w:rPr>
        <w:t xml:space="preserve">- l’elenco degli enti e delle società che compongono il gruppo con l’indicazione </w:t>
      </w:r>
      <w:r w:rsidRPr="008917D9">
        <w:rPr>
          <w:rFonts w:ascii="Times New Roman" w:hAnsi="Times New Roman"/>
          <w:sz w:val="24"/>
          <w:szCs w:val="24"/>
          <w:lang w:eastAsia="it-IT"/>
        </w:rPr>
        <w:t>per ciascun</w:t>
      </w:r>
      <w:r>
        <w:rPr>
          <w:rFonts w:ascii="Times New Roman" w:hAnsi="Times New Roman"/>
          <w:sz w:val="24"/>
          <w:szCs w:val="24"/>
          <w:lang w:eastAsia="it-IT"/>
        </w:rPr>
        <w:t xml:space="preserve"> componente del gr</w:t>
      </w:r>
      <w:r w:rsidR="00554085">
        <w:rPr>
          <w:rFonts w:ascii="Times New Roman" w:hAnsi="Times New Roman"/>
          <w:sz w:val="24"/>
          <w:szCs w:val="24"/>
          <w:lang w:eastAsia="it-IT"/>
        </w:rPr>
        <w:t>uppo amministrazione pubblica</w:t>
      </w:r>
      <w:r>
        <w:rPr>
          <w:rFonts w:ascii="Times New Roman" w:hAnsi="Times New Roman"/>
          <w:sz w:val="24"/>
          <w:szCs w:val="24"/>
          <w:lang w:eastAsia="it-IT"/>
        </w:rPr>
        <w:t>:</w:t>
      </w:r>
    </w:p>
    <w:p w:rsidR="00D84F6B" w:rsidRPr="00AC5BCA" w:rsidRDefault="00D84F6B"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 xml:space="preserve">- </w:t>
      </w:r>
      <w:r w:rsidR="00554085" w:rsidRPr="00AC5BCA">
        <w:rPr>
          <w:rFonts w:ascii="Times New Roman" w:hAnsi="Times New Roman"/>
          <w:sz w:val="24"/>
          <w:szCs w:val="24"/>
          <w:lang w:eastAsia="it-IT"/>
        </w:rPr>
        <w:t>del</w:t>
      </w:r>
      <w:r w:rsidRPr="00AC5BCA">
        <w:rPr>
          <w:rFonts w:ascii="Times New Roman" w:hAnsi="Times New Roman"/>
          <w:sz w:val="24"/>
          <w:szCs w:val="24"/>
          <w:lang w:eastAsia="it-IT"/>
        </w:rPr>
        <w:t xml:space="preserve">la denominazione, </w:t>
      </w:r>
      <w:r w:rsidR="0067101B">
        <w:rPr>
          <w:rFonts w:ascii="Times New Roman" w:hAnsi="Times New Roman"/>
          <w:sz w:val="24"/>
          <w:szCs w:val="24"/>
          <w:lang w:eastAsia="it-IT"/>
        </w:rPr>
        <w:t>del</w:t>
      </w:r>
      <w:r w:rsidRPr="00AC5BCA">
        <w:rPr>
          <w:rFonts w:ascii="Times New Roman" w:hAnsi="Times New Roman"/>
          <w:sz w:val="24"/>
          <w:szCs w:val="24"/>
          <w:lang w:eastAsia="it-IT"/>
        </w:rPr>
        <w:t xml:space="preserve">la sede e </w:t>
      </w:r>
      <w:r w:rsidR="0067101B">
        <w:rPr>
          <w:rFonts w:ascii="Times New Roman" w:hAnsi="Times New Roman"/>
          <w:sz w:val="24"/>
          <w:szCs w:val="24"/>
          <w:lang w:eastAsia="it-IT"/>
        </w:rPr>
        <w:t>del</w:t>
      </w:r>
      <w:r w:rsidRPr="00AC5BCA">
        <w:rPr>
          <w:rFonts w:ascii="Times New Roman" w:hAnsi="Times New Roman"/>
          <w:sz w:val="24"/>
          <w:szCs w:val="24"/>
          <w:lang w:eastAsia="it-IT"/>
        </w:rPr>
        <w:t xml:space="preserve"> capitale e se trattasi di una capogruppo intermedi</w:t>
      </w:r>
      <w:r w:rsidR="0067101B">
        <w:rPr>
          <w:rFonts w:ascii="Times New Roman" w:hAnsi="Times New Roman"/>
          <w:sz w:val="24"/>
          <w:szCs w:val="24"/>
          <w:lang w:eastAsia="it-IT"/>
        </w:rPr>
        <w:t>a</w:t>
      </w:r>
      <w:r w:rsidRPr="00AC5BCA">
        <w:rPr>
          <w:rFonts w:ascii="Times New Roman" w:hAnsi="Times New Roman"/>
          <w:sz w:val="24"/>
          <w:szCs w:val="24"/>
          <w:lang w:eastAsia="it-IT"/>
        </w:rPr>
        <w:t>;</w:t>
      </w:r>
    </w:p>
    <w:p w:rsidR="00D84F6B" w:rsidRPr="00AC5BCA" w:rsidRDefault="00D84F6B"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 xml:space="preserve">- </w:t>
      </w:r>
      <w:r w:rsidR="00554085" w:rsidRPr="00AC5BCA">
        <w:rPr>
          <w:rFonts w:ascii="Times New Roman" w:hAnsi="Times New Roman"/>
          <w:sz w:val="24"/>
          <w:szCs w:val="24"/>
          <w:lang w:eastAsia="it-IT"/>
        </w:rPr>
        <w:t>del</w:t>
      </w:r>
      <w:r w:rsidRPr="00AC5BCA">
        <w:rPr>
          <w:rFonts w:ascii="Times New Roman" w:hAnsi="Times New Roman"/>
          <w:sz w:val="24"/>
          <w:szCs w:val="24"/>
          <w:lang w:eastAsia="it-IT"/>
        </w:rPr>
        <w:t>le quote possedute, direttamente o indirettamente, dalla capogruppo e da ciascuno dei componenti del gruppo.;</w:t>
      </w:r>
    </w:p>
    <w:p w:rsidR="00D84F6B" w:rsidRPr="00AC5BCA" w:rsidRDefault="00D84F6B"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 se diversa, la percentuale dei voti complessivamente spettanti nell’assemblea ordinaria.</w:t>
      </w:r>
    </w:p>
    <w:p w:rsidR="00D84F6B" w:rsidRPr="00AC5BCA" w:rsidRDefault="00D84F6B"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 xml:space="preserve">- </w:t>
      </w:r>
      <w:r w:rsidR="00554085" w:rsidRPr="00AC5BCA">
        <w:rPr>
          <w:rFonts w:ascii="Times New Roman" w:hAnsi="Times New Roman"/>
          <w:sz w:val="24"/>
          <w:szCs w:val="24"/>
          <w:lang w:eastAsia="it-IT"/>
        </w:rPr>
        <w:t>del</w:t>
      </w:r>
      <w:r w:rsidRPr="00AC5BCA">
        <w:rPr>
          <w:rFonts w:ascii="Times New Roman" w:hAnsi="Times New Roman"/>
          <w:sz w:val="24"/>
          <w:szCs w:val="24"/>
          <w:lang w:eastAsia="it-IT"/>
        </w:rPr>
        <w:t>la ragione dell’inclusione nel consolidato degli enti o delle società se già non risulta dalle indicazioni richieste dalle lettere b) e c) del comma 1.</w:t>
      </w:r>
    </w:p>
    <w:p w:rsidR="00D84F6B" w:rsidRPr="00AC5BCA" w:rsidRDefault="00554085"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del</w:t>
      </w:r>
      <w:r w:rsidR="00D84F6B" w:rsidRPr="00AC5BCA">
        <w:rPr>
          <w:rFonts w:ascii="Times New Roman" w:hAnsi="Times New Roman"/>
          <w:sz w:val="24"/>
          <w:szCs w:val="24"/>
          <w:lang w:eastAsia="it-IT"/>
        </w:rPr>
        <w:t>la ragione dell’eventuale esclusione dal consolidato di enti strumentali o società controllate e partecipante dalla capogruppo.:</w:t>
      </w:r>
    </w:p>
    <w:p w:rsidR="00AC5BCA" w:rsidRDefault="00D84F6B" w:rsidP="00AC5BCA">
      <w:pPr>
        <w:pStyle w:val="Paragrafoelenco"/>
        <w:numPr>
          <w:ilvl w:val="0"/>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lang w:eastAsia="it-IT"/>
        </w:rPr>
        <w:t>qualora si sia verificata una variazione notevole nella composizione del complesso delle imprese incluse nel consolidamento, devono essere fornite le informazioni che rendano significativo il confronto fra lo stato patrimoniale e il conto economico dell’esercizio e quelli dell’esercizio precedente (</w:t>
      </w:r>
      <w:r w:rsidR="00554085" w:rsidRPr="00AC5BCA">
        <w:rPr>
          <w:rFonts w:ascii="Times New Roman" w:hAnsi="Times New Roman"/>
          <w:sz w:val="24"/>
          <w:szCs w:val="24"/>
          <w:lang w:eastAsia="it-IT"/>
        </w:rPr>
        <w:t xml:space="preserve">ad </w:t>
      </w:r>
      <w:r w:rsidRPr="00AC5BCA">
        <w:rPr>
          <w:rFonts w:ascii="Times New Roman" w:hAnsi="Times New Roman"/>
          <w:sz w:val="24"/>
          <w:szCs w:val="24"/>
          <w:lang w:eastAsia="it-IT"/>
        </w:rPr>
        <w:t>esclus</w:t>
      </w:r>
      <w:r w:rsidR="00554085" w:rsidRPr="00AC5BCA">
        <w:rPr>
          <w:rFonts w:ascii="Times New Roman" w:hAnsi="Times New Roman"/>
          <w:sz w:val="24"/>
          <w:szCs w:val="24"/>
          <w:lang w:eastAsia="it-IT"/>
        </w:rPr>
        <w:t>i</w:t>
      </w:r>
      <w:r w:rsidRPr="00AC5BCA">
        <w:rPr>
          <w:rFonts w:ascii="Times New Roman" w:hAnsi="Times New Roman"/>
          <w:sz w:val="24"/>
          <w:szCs w:val="24"/>
          <w:lang w:eastAsia="it-IT"/>
        </w:rPr>
        <w:t>o</w:t>
      </w:r>
      <w:r w:rsidR="00554085" w:rsidRPr="00AC5BCA">
        <w:rPr>
          <w:rFonts w:ascii="Times New Roman" w:hAnsi="Times New Roman"/>
          <w:sz w:val="24"/>
          <w:szCs w:val="24"/>
          <w:lang w:eastAsia="it-IT"/>
        </w:rPr>
        <w:t>ne</w:t>
      </w:r>
      <w:r w:rsidRPr="00AC5BCA">
        <w:rPr>
          <w:rFonts w:ascii="Times New Roman" w:hAnsi="Times New Roman"/>
          <w:sz w:val="24"/>
          <w:szCs w:val="24"/>
          <w:lang w:eastAsia="it-IT"/>
        </w:rPr>
        <w:t xml:space="preserve"> </w:t>
      </w:r>
      <w:r w:rsidR="00554085" w:rsidRPr="00AC5BCA">
        <w:rPr>
          <w:rFonts w:ascii="Times New Roman" w:hAnsi="Times New Roman"/>
          <w:sz w:val="24"/>
          <w:szCs w:val="24"/>
          <w:lang w:eastAsia="it-IT"/>
        </w:rPr>
        <w:t xml:space="preserve">del </w:t>
      </w:r>
      <w:r w:rsidRPr="00AC5BCA">
        <w:rPr>
          <w:rFonts w:ascii="Times New Roman" w:hAnsi="Times New Roman"/>
          <w:sz w:val="24"/>
          <w:szCs w:val="24"/>
          <w:lang w:eastAsia="it-IT"/>
        </w:rPr>
        <w:t xml:space="preserve"> primo esercizio</w:t>
      </w:r>
      <w:r w:rsidR="00554085" w:rsidRPr="00AC5BCA">
        <w:rPr>
          <w:rFonts w:ascii="Times New Roman" w:hAnsi="Times New Roman"/>
          <w:sz w:val="24"/>
          <w:szCs w:val="24"/>
          <w:lang w:eastAsia="it-IT"/>
        </w:rPr>
        <w:t xml:space="preserve"> di sperimentazione</w:t>
      </w:r>
      <w:r w:rsidRPr="00AC5BCA">
        <w:rPr>
          <w:rFonts w:ascii="Times New Roman" w:hAnsi="Times New Roman"/>
          <w:sz w:val="24"/>
          <w:szCs w:val="24"/>
          <w:lang w:eastAsia="it-IT"/>
        </w:rPr>
        <w:t>)</w:t>
      </w:r>
      <w:r w:rsidR="00DC3839" w:rsidRPr="00AC5BCA">
        <w:rPr>
          <w:rFonts w:ascii="Times New Roman" w:hAnsi="Times New Roman"/>
          <w:sz w:val="24"/>
          <w:szCs w:val="24"/>
          <w:lang w:eastAsia="it-IT"/>
        </w:rPr>
        <w:t>;</w:t>
      </w:r>
    </w:p>
    <w:p w:rsidR="00CC65D9" w:rsidRDefault="006C7164" w:rsidP="00AC5BCA">
      <w:pPr>
        <w:pStyle w:val="Paragrafoelenco"/>
        <w:numPr>
          <w:ilvl w:val="0"/>
          <w:numId w:val="17"/>
        </w:numPr>
        <w:autoSpaceDE w:val="0"/>
        <w:autoSpaceDN w:val="0"/>
        <w:adjustRightInd w:val="0"/>
        <w:spacing w:after="0" w:line="240" w:lineRule="auto"/>
        <w:ind w:left="284" w:hanging="284"/>
        <w:jc w:val="both"/>
        <w:rPr>
          <w:rFonts w:ascii="Times New Roman" w:hAnsi="Times New Roman"/>
          <w:sz w:val="24"/>
          <w:szCs w:val="24"/>
          <w:lang w:eastAsia="it-IT"/>
        </w:rPr>
      </w:pPr>
      <w:r w:rsidRPr="001F553B">
        <w:rPr>
          <w:rFonts w:ascii="Times New Roman" w:hAnsi="Times New Roman"/>
          <w:sz w:val="24"/>
          <w:szCs w:val="24"/>
        </w:rPr>
        <w:t xml:space="preserve">l’elenco degli enti, le aziende e le società componenti del gruppo comprese nel bilancio consolidato </w:t>
      </w:r>
      <w:r w:rsidR="00DC3839" w:rsidRPr="00AC5BCA">
        <w:rPr>
          <w:rFonts w:ascii="Times New Roman" w:hAnsi="Times New Roman"/>
          <w:sz w:val="24"/>
          <w:szCs w:val="24"/>
        </w:rPr>
        <w:t>con l’indicazione</w:t>
      </w:r>
      <w:r w:rsidR="00CC65D9">
        <w:rPr>
          <w:rFonts w:ascii="Times New Roman" w:hAnsi="Times New Roman"/>
          <w:sz w:val="24"/>
          <w:szCs w:val="24"/>
        </w:rPr>
        <w:t xml:space="preserve"> per ciascun componente:</w:t>
      </w:r>
    </w:p>
    <w:p w:rsidR="00DC3839" w:rsidRPr="00CC65D9" w:rsidRDefault="00DC3839" w:rsidP="00CC65D9">
      <w:pPr>
        <w:pStyle w:val="Paragrafoelenco"/>
        <w:numPr>
          <w:ilvl w:val="1"/>
          <w:numId w:val="17"/>
        </w:numPr>
        <w:autoSpaceDE w:val="0"/>
        <w:autoSpaceDN w:val="0"/>
        <w:adjustRightInd w:val="0"/>
        <w:spacing w:after="0" w:line="240" w:lineRule="auto"/>
        <w:jc w:val="both"/>
        <w:rPr>
          <w:rFonts w:ascii="Times New Roman" w:hAnsi="Times New Roman"/>
          <w:sz w:val="24"/>
          <w:szCs w:val="24"/>
          <w:lang w:eastAsia="it-IT"/>
        </w:rPr>
      </w:pPr>
      <w:r w:rsidRPr="00AC5BCA">
        <w:rPr>
          <w:rFonts w:ascii="Times New Roman" w:hAnsi="Times New Roman"/>
          <w:sz w:val="24"/>
          <w:szCs w:val="24"/>
        </w:rPr>
        <w:t xml:space="preserve"> della percentuale </w:t>
      </w:r>
      <w:r w:rsidR="00AC5BCA" w:rsidRPr="00AC5BCA">
        <w:rPr>
          <w:rFonts w:ascii="Times New Roman" w:hAnsi="Times New Roman"/>
          <w:sz w:val="24"/>
          <w:szCs w:val="24"/>
        </w:rPr>
        <w:t>utilizzata per consolidare il bilancio e, al fine di valutare l’effetto delle esternalizzazioni, dell’</w:t>
      </w:r>
      <w:r w:rsidRPr="00AC5BCA">
        <w:rPr>
          <w:rFonts w:ascii="Times New Roman" w:hAnsi="Times New Roman"/>
          <w:bCs/>
          <w:sz w:val="24"/>
          <w:szCs w:val="24"/>
        </w:rPr>
        <w:t>incidenza dei ricavi imputabili alla controllante rispetto al totale dei ricavi propri, compresivi delle entrate esternalizzate</w:t>
      </w:r>
      <w:r w:rsidR="00CC65D9">
        <w:rPr>
          <w:rFonts w:ascii="Times New Roman" w:hAnsi="Times New Roman"/>
          <w:bCs/>
          <w:sz w:val="24"/>
          <w:szCs w:val="24"/>
        </w:rPr>
        <w:t>;</w:t>
      </w:r>
    </w:p>
    <w:p w:rsidR="00CC65D9" w:rsidRDefault="00CC65D9" w:rsidP="00CC65D9">
      <w:pPr>
        <w:pStyle w:val="Paragrafoelenco"/>
        <w:numPr>
          <w:ilvl w:val="1"/>
          <w:numId w:val="17"/>
        </w:numPr>
        <w:autoSpaceDE w:val="0"/>
        <w:autoSpaceDN w:val="0"/>
        <w:adjustRightInd w:val="0"/>
        <w:spacing w:after="0" w:line="240" w:lineRule="auto"/>
        <w:jc w:val="both"/>
        <w:rPr>
          <w:rFonts w:ascii="Times New Roman" w:hAnsi="Times New Roman"/>
          <w:sz w:val="24"/>
          <w:szCs w:val="24"/>
          <w:lang w:eastAsia="it-IT"/>
        </w:rPr>
      </w:pPr>
      <w:r>
        <w:rPr>
          <w:rFonts w:ascii="Times New Roman" w:hAnsi="Times New Roman"/>
          <w:sz w:val="24"/>
          <w:szCs w:val="24"/>
        </w:rPr>
        <w:t xml:space="preserve">delle spese di </w:t>
      </w:r>
      <w:r w:rsidRPr="00574723">
        <w:rPr>
          <w:rFonts w:ascii="Times New Roman" w:hAnsi="Times New Roman"/>
          <w:sz w:val="24"/>
          <w:szCs w:val="24"/>
        </w:rPr>
        <w:t xml:space="preserve"> personale utilizzato a qualsiasi titolo</w:t>
      </w:r>
      <w:r>
        <w:rPr>
          <w:rFonts w:ascii="Times New Roman" w:hAnsi="Times New Roman"/>
          <w:sz w:val="24"/>
          <w:szCs w:val="24"/>
        </w:rPr>
        <w:t>,</w:t>
      </w:r>
      <w:r w:rsidRPr="00574723">
        <w:rPr>
          <w:rFonts w:ascii="Times New Roman" w:hAnsi="Times New Roman"/>
          <w:sz w:val="24"/>
          <w:szCs w:val="24"/>
        </w:rPr>
        <w:t xml:space="preserve"> </w:t>
      </w:r>
      <w:r>
        <w:rPr>
          <w:rFonts w:ascii="Times New Roman" w:hAnsi="Times New Roman"/>
          <w:sz w:val="24"/>
          <w:szCs w:val="24"/>
        </w:rPr>
        <w:t>e con qualsivoglia</w:t>
      </w:r>
      <w:r w:rsidRPr="00574723">
        <w:rPr>
          <w:rFonts w:ascii="Times New Roman" w:hAnsi="Times New Roman"/>
          <w:sz w:val="24"/>
          <w:szCs w:val="24"/>
        </w:rPr>
        <w:t xml:space="preserve"> tipologia contrattuale</w:t>
      </w:r>
      <w:r>
        <w:rPr>
          <w:rFonts w:ascii="Times New Roman" w:hAnsi="Times New Roman"/>
          <w:sz w:val="24"/>
          <w:szCs w:val="24"/>
        </w:rPr>
        <w:t>;</w:t>
      </w:r>
      <w:r w:rsidRPr="00574723">
        <w:rPr>
          <w:rFonts w:ascii="Times New Roman" w:hAnsi="Times New Roman"/>
          <w:sz w:val="24"/>
          <w:szCs w:val="24"/>
        </w:rPr>
        <w:t xml:space="preserve"> </w:t>
      </w:r>
    </w:p>
    <w:p w:rsidR="00CC65D9" w:rsidRPr="00AC5BCA" w:rsidRDefault="00CC65D9" w:rsidP="00CC65D9">
      <w:pPr>
        <w:pStyle w:val="Paragrafoelenco"/>
        <w:numPr>
          <w:ilvl w:val="1"/>
          <w:numId w:val="17"/>
        </w:numPr>
        <w:autoSpaceDE w:val="0"/>
        <w:autoSpaceDN w:val="0"/>
        <w:adjustRightInd w:val="0"/>
        <w:spacing w:after="0" w:line="240" w:lineRule="auto"/>
        <w:jc w:val="both"/>
        <w:rPr>
          <w:rFonts w:ascii="Times New Roman" w:hAnsi="Times New Roman"/>
          <w:sz w:val="24"/>
          <w:szCs w:val="24"/>
          <w:lang w:eastAsia="it-IT"/>
        </w:rPr>
      </w:pPr>
      <w:r w:rsidRPr="00574723">
        <w:rPr>
          <w:rFonts w:ascii="Times New Roman" w:hAnsi="Times New Roman"/>
          <w:sz w:val="24"/>
          <w:szCs w:val="24"/>
        </w:rPr>
        <w:t xml:space="preserve">delle perdite ripianate dall’ente, attraverso conferimenti o altre operazioni </w:t>
      </w:r>
      <w:r>
        <w:rPr>
          <w:rFonts w:ascii="Times New Roman" w:hAnsi="Times New Roman"/>
          <w:sz w:val="24"/>
          <w:szCs w:val="24"/>
        </w:rPr>
        <w:t xml:space="preserve">finanziarie, </w:t>
      </w:r>
      <w:r w:rsidRPr="00574723">
        <w:rPr>
          <w:rFonts w:ascii="Times New Roman" w:hAnsi="Times New Roman"/>
          <w:sz w:val="24"/>
          <w:szCs w:val="24"/>
        </w:rPr>
        <w:t xml:space="preserve"> negli ultimi tre anni</w:t>
      </w:r>
    </w:p>
    <w:p w:rsidR="00D84F6B" w:rsidRPr="006F1016" w:rsidRDefault="00D84F6B" w:rsidP="00AC5BCA">
      <w:pPr>
        <w:pStyle w:val="Paragrafoelenco"/>
        <w:tabs>
          <w:tab w:val="right" w:pos="284"/>
        </w:tabs>
        <w:spacing w:line="240" w:lineRule="auto"/>
        <w:ind w:left="142"/>
        <w:jc w:val="both"/>
        <w:rPr>
          <w:rFonts w:ascii="Times New Roman" w:hAnsi="Times New Roman"/>
          <w:sz w:val="24"/>
          <w:szCs w:val="24"/>
          <w:highlight w:val="yellow"/>
        </w:rPr>
      </w:pPr>
    </w:p>
    <w:p w:rsidR="00D84F6B" w:rsidRPr="002C0803" w:rsidRDefault="00D84F6B" w:rsidP="009E56E2">
      <w:pPr>
        <w:autoSpaceDE w:val="0"/>
        <w:autoSpaceDN w:val="0"/>
        <w:adjustRightInd w:val="0"/>
        <w:spacing w:line="240" w:lineRule="auto"/>
        <w:contextualSpacing/>
        <w:jc w:val="both"/>
        <w:rPr>
          <w:rFonts w:ascii="Times New Roman" w:hAnsi="Times New Roman"/>
          <w:b/>
          <w:sz w:val="24"/>
          <w:szCs w:val="24"/>
        </w:rPr>
      </w:pPr>
      <w:r>
        <w:rPr>
          <w:rFonts w:ascii="Times New Roman" w:hAnsi="Times New Roman"/>
          <w:b/>
          <w:sz w:val="24"/>
          <w:szCs w:val="24"/>
        </w:rPr>
        <w:t>6</w:t>
      </w:r>
      <w:r w:rsidRPr="002C0803">
        <w:rPr>
          <w:rFonts w:ascii="Times New Roman" w:hAnsi="Times New Roman"/>
          <w:b/>
          <w:sz w:val="24"/>
          <w:szCs w:val="24"/>
        </w:rPr>
        <w:t xml:space="preserve">. Principio finale </w:t>
      </w:r>
      <w:r w:rsidRPr="002C0803">
        <w:rPr>
          <w:rFonts w:ascii="Times New Roman" w:hAnsi="Times New Roman"/>
          <w:sz w:val="24"/>
          <w:szCs w:val="24"/>
        </w:rPr>
        <w:t xml:space="preserve">Per quanto non specificatamente previsto nel presente documento si fa rinvio ai Principi contabili generali </w:t>
      </w:r>
      <w:r w:rsidR="00337D4E">
        <w:rPr>
          <w:rFonts w:ascii="Times New Roman" w:hAnsi="Times New Roman"/>
          <w:sz w:val="24"/>
          <w:szCs w:val="24"/>
        </w:rPr>
        <w:t>civilistici</w:t>
      </w:r>
      <w:r w:rsidRPr="002C0803">
        <w:rPr>
          <w:rFonts w:ascii="Times New Roman" w:hAnsi="Times New Roman"/>
          <w:sz w:val="24"/>
          <w:szCs w:val="24"/>
        </w:rPr>
        <w:t xml:space="preserve"> e a quelli emanati dall’Organismo Italiano di Contabilità (OIC).</w:t>
      </w:r>
    </w:p>
    <w:sectPr w:rsidR="00D84F6B" w:rsidRPr="002C0803" w:rsidSect="004E3BF3">
      <w:pgSz w:w="11906" w:h="16838"/>
      <w:pgMar w:top="1417" w:right="113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163" w:rsidRDefault="00D97163" w:rsidP="00C5389B">
      <w:pPr>
        <w:spacing w:after="0" w:line="240" w:lineRule="auto"/>
      </w:pPr>
      <w:r>
        <w:separator/>
      </w:r>
    </w:p>
  </w:endnote>
  <w:endnote w:type="continuationSeparator" w:id="0">
    <w:p w:rsidR="00D97163" w:rsidRDefault="00D97163" w:rsidP="00C538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163" w:rsidRDefault="00D97163" w:rsidP="00C5389B">
      <w:pPr>
        <w:spacing w:after="0" w:line="240" w:lineRule="auto"/>
      </w:pPr>
      <w:r>
        <w:separator/>
      </w:r>
    </w:p>
  </w:footnote>
  <w:footnote w:type="continuationSeparator" w:id="0">
    <w:p w:rsidR="00D97163" w:rsidRDefault="00D97163" w:rsidP="00C538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6F3"/>
    <w:multiLevelType w:val="hybridMultilevel"/>
    <w:tmpl w:val="53FE9FC6"/>
    <w:lvl w:ilvl="0" w:tplc="04100011">
      <w:start w:val="1"/>
      <w:numFmt w:val="decimal"/>
      <w:lvlText w:val="%1)"/>
      <w:lvlJc w:val="left"/>
      <w:pPr>
        <w:ind w:left="502" w:hanging="360"/>
      </w:pPr>
      <w:rPr>
        <w:rFonts w:cs="Times New Roman" w:hint="default"/>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
    <w:nsid w:val="06726948"/>
    <w:multiLevelType w:val="hybridMultilevel"/>
    <w:tmpl w:val="79960C5A"/>
    <w:lvl w:ilvl="0" w:tplc="8B745B1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C792F47"/>
    <w:multiLevelType w:val="hybridMultilevel"/>
    <w:tmpl w:val="DC1226B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5DF45F1"/>
    <w:multiLevelType w:val="hybridMultilevel"/>
    <w:tmpl w:val="D49CF2E0"/>
    <w:lvl w:ilvl="0" w:tplc="85126B2C">
      <w:numFmt w:val="bullet"/>
      <w:lvlText w:val="-"/>
      <w:lvlJc w:val="left"/>
      <w:pPr>
        <w:ind w:left="720" w:hanging="360"/>
      </w:pPr>
      <w:rPr>
        <w:rFonts w:ascii="Times New Roman" w:eastAsia="Times New Roman" w:hAnsi="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32B5F6A"/>
    <w:multiLevelType w:val="hybridMultilevel"/>
    <w:tmpl w:val="3EFA8F2C"/>
    <w:lvl w:ilvl="0" w:tplc="85126B2C">
      <w:numFmt w:val="bullet"/>
      <w:lvlText w:val="-"/>
      <w:lvlJc w:val="left"/>
      <w:pPr>
        <w:ind w:left="720" w:hanging="360"/>
      </w:pPr>
      <w:rPr>
        <w:rFonts w:ascii="Times New Roman" w:eastAsia="Times New Roman" w:hAnsi="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50F6DBE"/>
    <w:multiLevelType w:val="hybridMultilevel"/>
    <w:tmpl w:val="BBA4FE5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58B7F2C"/>
    <w:multiLevelType w:val="hybridMultilevel"/>
    <w:tmpl w:val="D02E3334"/>
    <w:lvl w:ilvl="0" w:tplc="C204B0D8">
      <w:start w:val="3"/>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nsid w:val="2D850B9D"/>
    <w:multiLevelType w:val="hybridMultilevel"/>
    <w:tmpl w:val="6D2E1C34"/>
    <w:lvl w:ilvl="0" w:tplc="0410000F">
      <w:start w:val="1"/>
      <w:numFmt w:val="decimal"/>
      <w:lvlText w:val="%1."/>
      <w:lvlJc w:val="left"/>
      <w:pPr>
        <w:ind w:left="720" w:hanging="360"/>
      </w:pPr>
      <w:rPr>
        <w:rFonts w:cs="Times New Roman" w:hint="default"/>
      </w:rPr>
    </w:lvl>
    <w:lvl w:ilvl="1" w:tplc="0410000F">
      <w:start w:val="1"/>
      <w:numFmt w:val="decimal"/>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C705A4F"/>
    <w:multiLevelType w:val="hybridMultilevel"/>
    <w:tmpl w:val="2864C94A"/>
    <w:lvl w:ilvl="0" w:tplc="D5747116">
      <w:start w:val="1"/>
      <w:numFmt w:val="decimal"/>
      <w:lvlText w:val="%1."/>
      <w:lvlJc w:val="left"/>
      <w:pPr>
        <w:ind w:left="360" w:hanging="360"/>
      </w:pPr>
      <w:rPr>
        <w:rFonts w:cs="Times New Roman" w:hint="default"/>
        <w:color w:val="auto"/>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9">
    <w:nsid w:val="3EDB2BC1"/>
    <w:multiLevelType w:val="hybridMultilevel"/>
    <w:tmpl w:val="A01CE984"/>
    <w:lvl w:ilvl="0" w:tplc="85126B2C">
      <w:numFmt w:val="bullet"/>
      <w:lvlText w:val="-"/>
      <w:lvlJc w:val="left"/>
      <w:pPr>
        <w:ind w:left="1068" w:hanging="360"/>
      </w:pPr>
      <w:rPr>
        <w:rFonts w:ascii="Times New Roman" w:eastAsia="Times New Roman" w:hAnsi="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nsid w:val="408610BE"/>
    <w:multiLevelType w:val="multilevel"/>
    <w:tmpl w:val="D3143A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1CD293A"/>
    <w:multiLevelType w:val="hybridMultilevel"/>
    <w:tmpl w:val="972E32D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3457624"/>
    <w:multiLevelType w:val="hybridMultilevel"/>
    <w:tmpl w:val="95742E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7E41B24"/>
    <w:multiLevelType w:val="hybridMultilevel"/>
    <w:tmpl w:val="0A80283E"/>
    <w:lvl w:ilvl="0" w:tplc="04100017">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4">
    <w:nsid w:val="5E49738B"/>
    <w:multiLevelType w:val="hybridMultilevel"/>
    <w:tmpl w:val="2D86B4E0"/>
    <w:lvl w:ilvl="0" w:tplc="345C3C6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5E7576E1"/>
    <w:multiLevelType w:val="hybridMultilevel"/>
    <w:tmpl w:val="3EE087EE"/>
    <w:lvl w:ilvl="0" w:tplc="E4EA8D86">
      <w:start w:val="1"/>
      <w:numFmt w:val="decimal"/>
      <w:lvlText w:val="%1."/>
      <w:lvlJc w:val="left"/>
      <w:pPr>
        <w:ind w:left="360" w:hanging="360"/>
      </w:pPr>
      <w:rPr>
        <w:rFonts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62906C6A"/>
    <w:multiLevelType w:val="hybridMultilevel"/>
    <w:tmpl w:val="6C4882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67D76FA3"/>
    <w:multiLevelType w:val="hybridMultilevel"/>
    <w:tmpl w:val="58F06166"/>
    <w:lvl w:ilvl="0" w:tplc="85126B2C">
      <w:numFmt w:val="bullet"/>
      <w:lvlText w:val="-"/>
      <w:lvlJc w:val="left"/>
      <w:pPr>
        <w:ind w:left="720" w:hanging="360"/>
      </w:pPr>
      <w:rPr>
        <w:rFonts w:ascii="Times New Roman" w:eastAsia="Times New Roman" w:hAnsi="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69E07EC4"/>
    <w:multiLevelType w:val="hybridMultilevel"/>
    <w:tmpl w:val="0A887D0A"/>
    <w:lvl w:ilvl="0" w:tplc="04100011">
      <w:start w:val="1"/>
      <w:numFmt w:val="decimal"/>
      <w:lvlText w:val="%1)"/>
      <w:lvlJc w:val="left"/>
      <w:pPr>
        <w:ind w:left="502" w:hanging="360"/>
      </w:pPr>
      <w:rPr>
        <w:rFonts w:cs="Times New Roman" w:hint="default"/>
      </w:rPr>
    </w:lvl>
    <w:lvl w:ilvl="1" w:tplc="04100017">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9">
    <w:nsid w:val="6B5A2032"/>
    <w:multiLevelType w:val="hybridMultilevel"/>
    <w:tmpl w:val="7D98BE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6C8B642C"/>
    <w:multiLevelType w:val="hybridMultilevel"/>
    <w:tmpl w:val="36BC4AF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3E57B34"/>
    <w:multiLevelType w:val="hybridMultilevel"/>
    <w:tmpl w:val="F9283368"/>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4216EC6"/>
    <w:multiLevelType w:val="hybridMultilevel"/>
    <w:tmpl w:val="18A0113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7DCF3247"/>
    <w:multiLevelType w:val="hybridMultilevel"/>
    <w:tmpl w:val="F71EDAC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5"/>
  </w:num>
  <w:num w:numId="3">
    <w:abstractNumId w:val="16"/>
  </w:num>
  <w:num w:numId="4">
    <w:abstractNumId w:val="13"/>
  </w:num>
  <w:num w:numId="5">
    <w:abstractNumId w:val="22"/>
  </w:num>
  <w:num w:numId="6">
    <w:abstractNumId w:val="1"/>
  </w:num>
  <w:num w:numId="7">
    <w:abstractNumId w:val="0"/>
  </w:num>
  <w:num w:numId="8">
    <w:abstractNumId w:val="18"/>
  </w:num>
  <w:num w:numId="9">
    <w:abstractNumId w:val="10"/>
  </w:num>
  <w:num w:numId="10">
    <w:abstractNumId w:val="14"/>
  </w:num>
  <w:num w:numId="11">
    <w:abstractNumId w:val="11"/>
  </w:num>
  <w:num w:numId="12">
    <w:abstractNumId w:val="21"/>
  </w:num>
  <w:num w:numId="13">
    <w:abstractNumId w:val="20"/>
  </w:num>
  <w:num w:numId="14">
    <w:abstractNumId w:val="23"/>
  </w:num>
  <w:num w:numId="15">
    <w:abstractNumId w:val="3"/>
  </w:num>
  <w:num w:numId="16">
    <w:abstractNumId w:val="4"/>
  </w:num>
  <w:num w:numId="17">
    <w:abstractNumId w:val="17"/>
  </w:num>
  <w:num w:numId="18">
    <w:abstractNumId w:val="7"/>
  </w:num>
  <w:num w:numId="19">
    <w:abstractNumId w:val="2"/>
  </w:num>
  <w:num w:numId="20">
    <w:abstractNumId w:val="9"/>
  </w:num>
  <w:num w:numId="21">
    <w:abstractNumId w:val="19"/>
  </w:num>
  <w:num w:numId="22">
    <w:abstractNumId w:val="6"/>
  </w:num>
  <w:num w:numId="23">
    <w:abstractNumId w:val="12"/>
  </w:num>
  <w:num w:numId="24">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footnotePr>
    <w:footnote w:id="-1"/>
    <w:footnote w:id="0"/>
  </w:footnotePr>
  <w:endnotePr>
    <w:endnote w:id="-1"/>
    <w:endnote w:id="0"/>
  </w:endnotePr>
  <w:compat/>
  <w:rsids>
    <w:rsidRoot w:val="00386D78"/>
    <w:rsid w:val="00001F1E"/>
    <w:rsid w:val="00002136"/>
    <w:rsid w:val="0000301A"/>
    <w:rsid w:val="00006FF1"/>
    <w:rsid w:val="000112DD"/>
    <w:rsid w:val="00017191"/>
    <w:rsid w:val="00020412"/>
    <w:rsid w:val="00024AB8"/>
    <w:rsid w:val="0002525D"/>
    <w:rsid w:val="00043B59"/>
    <w:rsid w:val="00044973"/>
    <w:rsid w:val="00052B27"/>
    <w:rsid w:val="00060F2D"/>
    <w:rsid w:val="00061398"/>
    <w:rsid w:val="00061DB2"/>
    <w:rsid w:val="0007038D"/>
    <w:rsid w:val="0009344A"/>
    <w:rsid w:val="00095F49"/>
    <w:rsid w:val="000A148A"/>
    <w:rsid w:val="000B3163"/>
    <w:rsid w:val="000B7A59"/>
    <w:rsid w:val="000B7E6B"/>
    <w:rsid w:val="000C3774"/>
    <w:rsid w:val="000C5D76"/>
    <w:rsid w:val="000D44EA"/>
    <w:rsid w:val="000D6E10"/>
    <w:rsid w:val="000E495D"/>
    <w:rsid w:val="000E61D6"/>
    <w:rsid w:val="0010140B"/>
    <w:rsid w:val="001041C5"/>
    <w:rsid w:val="001060AC"/>
    <w:rsid w:val="00106EFA"/>
    <w:rsid w:val="001157D4"/>
    <w:rsid w:val="0012364C"/>
    <w:rsid w:val="001249A4"/>
    <w:rsid w:val="00125995"/>
    <w:rsid w:val="00125F2A"/>
    <w:rsid w:val="00127687"/>
    <w:rsid w:val="00130F1E"/>
    <w:rsid w:val="00132EB8"/>
    <w:rsid w:val="001340F8"/>
    <w:rsid w:val="0014344A"/>
    <w:rsid w:val="00144D88"/>
    <w:rsid w:val="0015293D"/>
    <w:rsid w:val="00155C35"/>
    <w:rsid w:val="00166820"/>
    <w:rsid w:val="00170529"/>
    <w:rsid w:val="00177140"/>
    <w:rsid w:val="0018714D"/>
    <w:rsid w:val="001905C8"/>
    <w:rsid w:val="00197B0B"/>
    <w:rsid w:val="001A3FC4"/>
    <w:rsid w:val="001A78E3"/>
    <w:rsid w:val="001B099C"/>
    <w:rsid w:val="001B6967"/>
    <w:rsid w:val="001C0420"/>
    <w:rsid w:val="001C4EC3"/>
    <w:rsid w:val="001D3F2E"/>
    <w:rsid w:val="001E012B"/>
    <w:rsid w:val="001E5BD0"/>
    <w:rsid w:val="001E698A"/>
    <w:rsid w:val="001F39ED"/>
    <w:rsid w:val="001F5234"/>
    <w:rsid w:val="001F553B"/>
    <w:rsid w:val="0020099B"/>
    <w:rsid w:val="00202CC3"/>
    <w:rsid w:val="00205564"/>
    <w:rsid w:val="002063DC"/>
    <w:rsid w:val="002119E8"/>
    <w:rsid w:val="002164A3"/>
    <w:rsid w:val="0021723D"/>
    <w:rsid w:val="00224A69"/>
    <w:rsid w:val="0023048B"/>
    <w:rsid w:val="002323A6"/>
    <w:rsid w:val="002330BE"/>
    <w:rsid w:val="00233244"/>
    <w:rsid w:val="0023486E"/>
    <w:rsid w:val="00257905"/>
    <w:rsid w:val="00270FD6"/>
    <w:rsid w:val="00282883"/>
    <w:rsid w:val="00282B8F"/>
    <w:rsid w:val="0028565C"/>
    <w:rsid w:val="00293134"/>
    <w:rsid w:val="002B5699"/>
    <w:rsid w:val="002B7450"/>
    <w:rsid w:val="002B74AC"/>
    <w:rsid w:val="002C0803"/>
    <w:rsid w:val="002C778A"/>
    <w:rsid w:val="002D2183"/>
    <w:rsid w:val="002E2AF0"/>
    <w:rsid w:val="002E77BA"/>
    <w:rsid w:val="002F0C1A"/>
    <w:rsid w:val="002F16DA"/>
    <w:rsid w:val="002F25DF"/>
    <w:rsid w:val="002F7AFA"/>
    <w:rsid w:val="00304D90"/>
    <w:rsid w:val="00311570"/>
    <w:rsid w:val="00316414"/>
    <w:rsid w:val="00316928"/>
    <w:rsid w:val="003279CB"/>
    <w:rsid w:val="00331E16"/>
    <w:rsid w:val="00337D4E"/>
    <w:rsid w:val="00346136"/>
    <w:rsid w:val="0034654F"/>
    <w:rsid w:val="0034667F"/>
    <w:rsid w:val="00351550"/>
    <w:rsid w:val="003540CE"/>
    <w:rsid w:val="00361B70"/>
    <w:rsid w:val="00361CCD"/>
    <w:rsid w:val="00366C6A"/>
    <w:rsid w:val="0037718E"/>
    <w:rsid w:val="00381106"/>
    <w:rsid w:val="00381C63"/>
    <w:rsid w:val="00383079"/>
    <w:rsid w:val="0038430D"/>
    <w:rsid w:val="00385987"/>
    <w:rsid w:val="003869CA"/>
    <w:rsid w:val="00386D78"/>
    <w:rsid w:val="00395C05"/>
    <w:rsid w:val="003A148D"/>
    <w:rsid w:val="003A3406"/>
    <w:rsid w:val="003A3AFD"/>
    <w:rsid w:val="003A4E60"/>
    <w:rsid w:val="003B5F88"/>
    <w:rsid w:val="003C26F8"/>
    <w:rsid w:val="003C2CD3"/>
    <w:rsid w:val="003C7E94"/>
    <w:rsid w:val="003D2B20"/>
    <w:rsid w:val="003D684A"/>
    <w:rsid w:val="003D7267"/>
    <w:rsid w:val="003E0F8D"/>
    <w:rsid w:val="003E393C"/>
    <w:rsid w:val="003E602B"/>
    <w:rsid w:val="00401080"/>
    <w:rsid w:val="0040469A"/>
    <w:rsid w:val="0040722D"/>
    <w:rsid w:val="00410506"/>
    <w:rsid w:val="00410D26"/>
    <w:rsid w:val="004151DA"/>
    <w:rsid w:val="004207D5"/>
    <w:rsid w:val="00423AEF"/>
    <w:rsid w:val="00433BD3"/>
    <w:rsid w:val="00435C43"/>
    <w:rsid w:val="00446FF2"/>
    <w:rsid w:val="0046023D"/>
    <w:rsid w:val="004609A3"/>
    <w:rsid w:val="00464370"/>
    <w:rsid w:val="0046741D"/>
    <w:rsid w:val="004703F6"/>
    <w:rsid w:val="00477F39"/>
    <w:rsid w:val="0048224C"/>
    <w:rsid w:val="00486D8C"/>
    <w:rsid w:val="004A0FD4"/>
    <w:rsid w:val="004A5C6E"/>
    <w:rsid w:val="004A5D04"/>
    <w:rsid w:val="004B2CA5"/>
    <w:rsid w:val="004B57C8"/>
    <w:rsid w:val="004C763B"/>
    <w:rsid w:val="004C7926"/>
    <w:rsid w:val="004D2D0B"/>
    <w:rsid w:val="004E080C"/>
    <w:rsid w:val="004E3BF3"/>
    <w:rsid w:val="004E426B"/>
    <w:rsid w:val="005049A0"/>
    <w:rsid w:val="005079AC"/>
    <w:rsid w:val="0051045B"/>
    <w:rsid w:val="005107D8"/>
    <w:rsid w:val="00514E90"/>
    <w:rsid w:val="005173AA"/>
    <w:rsid w:val="00522B1E"/>
    <w:rsid w:val="00541EAE"/>
    <w:rsid w:val="005426CF"/>
    <w:rsid w:val="005467F3"/>
    <w:rsid w:val="00546B17"/>
    <w:rsid w:val="00554085"/>
    <w:rsid w:val="005613C9"/>
    <w:rsid w:val="00572A12"/>
    <w:rsid w:val="005741F1"/>
    <w:rsid w:val="005769E1"/>
    <w:rsid w:val="00583650"/>
    <w:rsid w:val="005924E5"/>
    <w:rsid w:val="0059297D"/>
    <w:rsid w:val="005A02DD"/>
    <w:rsid w:val="005A6E46"/>
    <w:rsid w:val="005B48A7"/>
    <w:rsid w:val="005B4961"/>
    <w:rsid w:val="005C1F72"/>
    <w:rsid w:val="005C6E66"/>
    <w:rsid w:val="005C7F75"/>
    <w:rsid w:val="005D602C"/>
    <w:rsid w:val="005D74A1"/>
    <w:rsid w:val="005F01B3"/>
    <w:rsid w:val="005F0943"/>
    <w:rsid w:val="005F2A4B"/>
    <w:rsid w:val="00604AA9"/>
    <w:rsid w:val="00605965"/>
    <w:rsid w:val="00607E9A"/>
    <w:rsid w:val="006159BD"/>
    <w:rsid w:val="00620D3A"/>
    <w:rsid w:val="006312A4"/>
    <w:rsid w:val="00631C80"/>
    <w:rsid w:val="00641F63"/>
    <w:rsid w:val="00644614"/>
    <w:rsid w:val="00651A16"/>
    <w:rsid w:val="006525B9"/>
    <w:rsid w:val="00653B85"/>
    <w:rsid w:val="00661283"/>
    <w:rsid w:val="00667555"/>
    <w:rsid w:val="0067101B"/>
    <w:rsid w:val="00671CCB"/>
    <w:rsid w:val="006750E1"/>
    <w:rsid w:val="006836F2"/>
    <w:rsid w:val="00690AD2"/>
    <w:rsid w:val="00695E72"/>
    <w:rsid w:val="006A5122"/>
    <w:rsid w:val="006A6237"/>
    <w:rsid w:val="006B051E"/>
    <w:rsid w:val="006B23B4"/>
    <w:rsid w:val="006B43BE"/>
    <w:rsid w:val="006B752D"/>
    <w:rsid w:val="006C0C64"/>
    <w:rsid w:val="006C11F8"/>
    <w:rsid w:val="006C7164"/>
    <w:rsid w:val="006D2857"/>
    <w:rsid w:val="006D548E"/>
    <w:rsid w:val="006E72C5"/>
    <w:rsid w:val="006E7E52"/>
    <w:rsid w:val="006F1016"/>
    <w:rsid w:val="006F45DC"/>
    <w:rsid w:val="006F5A3E"/>
    <w:rsid w:val="006F6ECD"/>
    <w:rsid w:val="0070646A"/>
    <w:rsid w:val="00707D1F"/>
    <w:rsid w:val="00730EB5"/>
    <w:rsid w:val="007441EB"/>
    <w:rsid w:val="00754772"/>
    <w:rsid w:val="007556F3"/>
    <w:rsid w:val="00755985"/>
    <w:rsid w:val="007570A7"/>
    <w:rsid w:val="00772428"/>
    <w:rsid w:val="00777B3C"/>
    <w:rsid w:val="00787B2C"/>
    <w:rsid w:val="00794B46"/>
    <w:rsid w:val="007A20E2"/>
    <w:rsid w:val="007B743B"/>
    <w:rsid w:val="007C312F"/>
    <w:rsid w:val="007C5D0D"/>
    <w:rsid w:val="007C78EA"/>
    <w:rsid w:val="007D4BF9"/>
    <w:rsid w:val="007D6214"/>
    <w:rsid w:val="007E03E6"/>
    <w:rsid w:val="007F380E"/>
    <w:rsid w:val="00813DEA"/>
    <w:rsid w:val="00814289"/>
    <w:rsid w:val="0081598D"/>
    <w:rsid w:val="008249DF"/>
    <w:rsid w:val="0084168E"/>
    <w:rsid w:val="00841C0B"/>
    <w:rsid w:val="0084316C"/>
    <w:rsid w:val="00843878"/>
    <w:rsid w:val="00844E8F"/>
    <w:rsid w:val="00850ADF"/>
    <w:rsid w:val="00850AF7"/>
    <w:rsid w:val="008672B7"/>
    <w:rsid w:val="008718D6"/>
    <w:rsid w:val="008758C6"/>
    <w:rsid w:val="0088284C"/>
    <w:rsid w:val="00885D1A"/>
    <w:rsid w:val="00887209"/>
    <w:rsid w:val="008917D9"/>
    <w:rsid w:val="00893DF3"/>
    <w:rsid w:val="008A03D3"/>
    <w:rsid w:val="008C3124"/>
    <w:rsid w:val="008C3F1B"/>
    <w:rsid w:val="008C5BD9"/>
    <w:rsid w:val="008C68FB"/>
    <w:rsid w:val="008D16F4"/>
    <w:rsid w:val="008F1B48"/>
    <w:rsid w:val="009007EF"/>
    <w:rsid w:val="0090253C"/>
    <w:rsid w:val="009046A9"/>
    <w:rsid w:val="00911D14"/>
    <w:rsid w:val="00912823"/>
    <w:rsid w:val="009148FD"/>
    <w:rsid w:val="00926941"/>
    <w:rsid w:val="00942691"/>
    <w:rsid w:val="00947CC2"/>
    <w:rsid w:val="009505BC"/>
    <w:rsid w:val="0095258D"/>
    <w:rsid w:val="00960C2D"/>
    <w:rsid w:val="009614BA"/>
    <w:rsid w:val="00964C87"/>
    <w:rsid w:val="009747E5"/>
    <w:rsid w:val="00974A81"/>
    <w:rsid w:val="009753AF"/>
    <w:rsid w:val="00976AC5"/>
    <w:rsid w:val="00980BAF"/>
    <w:rsid w:val="009A69A9"/>
    <w:rsid w:val="009B2D66"/>
    <w:rsid w:val="009B7901"/>
    <w:rsid w:val="009C478E"/>
    <w:rsid w:val="009D1970"/>
    <w:rsid w:val="009D2A44"/>
    <w:rsid w:val="009E1D85"/>
    <w:rsid w:val="009E56E2"/>
    <w:rsid w:val="009F2159"/>
    <w:rsid w:val="009F3600"/>
    <w:rsid w:val="009F5D80"/>
    <w:rsid w:val="00A072B9"/>
    <w:rsid w:val="00A11EBF"/>
    <w:rsid w:val="00A1784E"/>
    <w:rsid w:val="00A202D3"/>
    <w:rsid w:val="00A211FD"/>
    <w:rsid w:val="00A236FF"/>
    <w:rsid w:val="00A2525A"/>
    <w:rsid w:val="00A309CE"/>
    <w:rsid w:val="00A3656B"/>
    <w:rsid w:val="00A446C5"/>
    <w:rsid w:val="00A44BE9"/>
    <w:rsid w:val="00A5051F"/>
    <w:rsid w:val="00A530CF"/>
    <w:rsid w:val="00A55F28"/>
    <w:rsid w:val="00A616C9"/>
    <w:rsid w:val="00A65874"/>
    <w:rsid w:val="00A70C4E"/>
    <w:rsid w:val="00A75792"/>
    <w:rsid w:val="00A80F0A"/>
    <w:rsid w:val="00A858BA"/>
    <w:rsid w:val="00A86826"/>
    <w:rsid w:val="00A873E4"/>
    <w:rsid w:val="00A90A9D"/>
    <w:rsid w:val="00A9102A"/>
    <w:rsid w:val="00A942EF"/>
    <w:rsid w:val="00AA0B2E"/>
    <w:rsid w:val="00AA192F"/>
    <w:rsid w:val="00AA1FE0"/>
    <w:rsid w:val="00AA7F77"/>
    <w:rsid w:val="00AB0286"/>
    <w:rsid w:val="00AB2BB4"/>
    <w:rsid w:val="00AB44E4"/>
    <w:rsid w:val="00AC2C59"/>
    <w:rsid w:val="00AC5BCA"/>
    <w:rsid w:val="00AD1AAD"/>
    <w:rsid w:val="00AD7519"/>
    <w:rsid w:val="00AD78B0"/>
    <w:rsid w:val="00AF0A25"/>
    <w:rsid w:val="00AF0C81"/>
    <w:rsid w:val="00AF18EC"/>
    <w:rsid w:val="00AF530B"/>
    <w:rsid w:val="00AF7CC5"/>
    <w:rsid w:val="00B0635E"/>
    <w:rsid w:val="00B25AC1"/>
    <w:rsid w:val="00B2749E"/>
    <w:rsid w:val="00B278A7"/>
    <w:rsid w:val="00B31776"/>
    <w:rsid w:val="00B40378"/>
    <w:rsid w:val="00B47BF6"/>
    <w:rsid w:val="00B55615"/>
    <w:rsid w:val="00B57DC1"/>
    <w:rsid w:val="00B6061A"/>
    <w:rsid w:val="00B63327"/>
    <w:rsid w:val="00B65E5C"/>
    <w:rsid w:val="00B66523"/>
    <w:rsid w:val="00B721D4"/>
    <w:rsid w:val="00B74EAD"/>
    <w:rsid w:val="00B81B87"/>
    <w:rsid w:val="00B8576C"/>
    <w:rsid w:val="00BB278B"/>
    <w:rsid w:val="00BC1112"/>
    <w:rsid w:val="00BC26D6"/>
    <w:rsid w:val="00BD49F3"/>
    <w:rsid w:val="00BD6EBD"/>
    <w:rsid w:val="00BD7373"/>
    <w:rsid w:val="00BE02FE"/>
    <w:rsid w:val="00BE53F4"/>
    <w:rsid w:val="00BE5A5D"/>
    <w:rsid w:val="00BE6504"/>
    <w:rsid w:val="00BF5AF3"/>
    <w:rsid w:val="00C01E17"/>
    <w:rsid w:val="00C07283"/>
    <w:rsid w:val="00C1056D"/>
    <w:rsid w:val="00C17204"/>
    <w:rsid w:val="00C21505"/>
    <w:rsid w:val="00C23677"/>
    <w:rsid w:val="00C23E58"/>
    <w:rsid w:val="00C41990"/>
    <w:rsid w:val="00C51215"/>
    <w:rsid w:val="00C5389B"/>
    <w:rsid w:val="00C56475"/>
    <w:rsid w:val="00C61CAD"/>
    <w:rsid w:val="00C61CC6"/>
    <w:rsid w:val="00C62CC2"/>
    <w:rsid w:val="00C7476D"/>
    <w:rsid w:val="00C76678"/>
    <w:rsid w:val="00C82E16"/>
    <w:rsid w:val="00C86145"/>
    <w:rsid w:val="00C939EE"/>
    <w:rsid w:val="00CA59F3"/>
    <w:rsid w:val="00CB0B49"/>
    <w:rsid w:val="00CB523F"/>
    <w:rsid w:val="00CB554F"/>
    <w:rsid w:val="00CC0113"/>
    <w:rsid w:val="00CC65D9"/>
    <w:rsid w:val="00CC7738"/>
    <w:rsid w:val="00CD32BE"/>
    <w:rsid w:val="00CD3A8A"/>
    <w:rsid w:val="00CD63CD"/>
    <w:rsid w:val="00CD7F86"/>
    <w:rsid w:val="00CF1D20"/>
    <w:rsid w:val="00CF7D8E"/>
    <w:rsid w:val="00D049BE"/>
    <w:rsid w:val="00D10B54"/>
    <w:rsid w:val="00D25085"/>
    <w:rsid w:val="00D309C2"/>
    <w:rsid w:val="00D42D8A"/>
    <w:rsid w:val="00D43B9C"/>
    <w:rsid w:val="00D44CD3"/>
    <w:rsid w:val="00D52E44"/>
    <w:rsid w:val="00D57140"/>
    <w:rsid w:val="00D618E8"/>
    <w:rsid w:val="00D643E8"/>
    <w:rsid w:val="00D70E78"/>
    <w:rsid w:val="00D74009"/>
    <w:rsid w:val="00D753D9"/>
    <w:rsid w:val="00D84F6B"/>
    <w:rsid w:val="00D851A2"/>
    <w:rsid w:val="00D91AFB"/>
    <w:rsid w:val="00D96DC2"/>
    <w:rsid w:val="00D97163"/>
    <w:rsid w:val="00DA4B5B"/>
    <w:rsid w:val="00DA52BD"/>
    <w:rsid w:val="00DA73F0"/>
    <w:rsid w:val="00DB072B"/>
    <w:rsid w:val="00DB0CF3"/>
    <w:rsid w:val="00DC166A"/>
    <w:rsid w:val="00DC3839"/>
    <w:rsid w:val="00DC5FB7"/>
    <w:rsid w:val="00DD1A0B"/>
    <w:rsid w:val="00DE0D49"/>
    <w:rsid w:val="00DE38B6"/>
    <w:rsid w:val="00DE7C57"/>
    <w:rsid w:val="00DF11BE"/>
    <w:rsid w:val="00DF20E0"/>
    <w:rsid w:val="00DF6611"/>
    <w:rsid w:val="00E01F96"/>
    <w:rsid w:val="00E03FAE"/>
    <w:rsid w:val="00E06001"/>
    <w:rsid w:val="00E306BF"/>
    <w:rsid w:val="00E3278A"/>
    <w:rsid w:val="00E3320D"/>
    <w:rsid w:val="00E35885"/>
    <w:rsid w:val="00E41641"/>
    <w:rsid w:val="00E51D1B"/>
    <w:rsid w:val="00E52D29"/>
    <w:rsid w:val="00E539C0"/>
    <w:rsid w:val="00E56570"/>
    <w:rsid w:val="00E74EBC"/>
    <w:rsid w:val="00E80377"/>
    <w:rsid w:val="00E80CE3"/>
    <w:rsid w:val="00E81251"/>
    <w:rsid w:val="00E81EE0"/>
    <w:rsid w:val="00E92696"/>
    <w:rsid w:val="00E968CD"/>
    <w:rsid w:val="00E96A82"/>
    <w:rsid w:val="00EA2949"/>
    <w:rsid w:val="00EA6926"/>
    <w:rsid w:val="00EB2CBA"/>
    <w:rsid w:val="00EB4C58"/>
    <w:rsid w:val="00EC0150"/>
    <w:rsid w:val="00EC2659"/>
    <w:rsid w:val="00EC3D04"/>
    <w:rsid w:val="00ED40BB"/>
    <w:rsid w:val="00ED4E60"/>
    <w:rsid w:val="00EE3044"/>
    <w:rsid w:val="00EE36D8"/>
    <w:rsid w:val="00EF35C0"/>
    <w:rsid w:val="00EF7F08"/>
    <w:rsid w:val="00F005A1"/>
    <w:rsid w:val="00F02092"/>
    <w:rsid w:val="00F2627F"/>
    <w:rsid w:val="00F32845"/>
    <w:rsid w:val="00F409CD"/>
    <w:rsid w:val="00F56A79"/>
    <w:rsid w:val="00F62EE2"/>
    <w:rsid w:val="00F766BC"/>
    <w:rsid w:val="00F773A2"/>
    <w:rsid w:val="00F8187E"/>
    <w:rsid w:val="00F8246B"/>
    <w:rsid w:val="00F82931"/>
    <w:rsid w:val="00F83709"/>
    <w:rsid w:val="00F83ADA"/>
    <w:rsid w:val="00F854BC"/>
    <w:rsid w:val="00F8607A"/>
    <w:rsid w:val="00F9393C"/>
    <w:rsid w:val="00F94BB2"/>
    <w:rsid w:val="00F970BD"/>
    <w:rsid w:val="00FA1667"/>
    <w:rsid w:val="00FB4AB1"/>
    <w:rsid w:val="00FB7F7A"/>
    <w:rsid w:val="00FC42B1"/>
    <w:rsid w:val="00FD0026"/>
    <w:rsid w:val="00FD17A8"/>
    <w:rsid w:val="00FD3B05"/>
    <w:rsid w:val="00FD71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0C1A"/>
    <w:pPr>
      <w:spacing w:after="200" w:line="276" w:lineRule="auto"/>
    </w:pPr>
    <w:rPr>
      <w:lang w:eastAsia="en-US"/>
    </w:rPr>
  </w:style>
  <w:style w:type="paragraph" w:styleId="Titolo2">
    <w:name w:val="heading 2"/>
    <w:basedOn w:val="Normale"/>
    <w:next w:val="Normale"/>
    <w:link w:val="Titolo2Carattere"/>
    <w:uiPriority w:val="99"/>
    <w:qFormat/>
    <w:locked/>
    <w:rsid w:val="002C0803"/>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2C0803"/>
    <w:rPr>
      <w:rFonts w:ascii="Arial" w:hAnsi="Arial" w:cs="Arial"/>
      <w:b/>
      <w:bCs/>
      <w:i/>
      <w:iCs/>
      <w:sz w:val="28"/>
      <w:szCs w:val="28"/>
    </w:rPr>
  </w:style>
  <w:style w:type="paragraph" w:customStyle="1" w:styleId="Default">
    <w:name w:val="Default"/>
    <w:uiPriority w:val="99"/>
    <w:rsid w:val="00F62EE2"/>
    <w:pPr>
      <w:autoSpaceDE w:val="0"/>
      <w:autoSpaceDN w:val="0"/>
      <w:adjustRightInd w:val="0"/>
    </w:pPr>
    <w:rPr>
      <w:rFonts w:ascii="Times New Roman" w:eastAsia="Times New Roman" w:hAnsi="Times New Roman"/>
      <w:color w:val="000000"/>
      <w:sz w:val="24"/>
      <w:szCs w:val="24"/>
      <w:lang w:eastAsia="zh-TW"/>
    </w:rPr>
  </w:style>
  <w:style w:type="paragraph" w:styleId="Paragrafoelenco">
    <w:name w:val="List Paragraph"/>
    <w:basedOn w:val="Normale"/>
    <w:uiPriority w:val="99"/>
    <w:qFormat/>
    <w:rsid w:val="00F62EE2"/>
    <w:pPr>
      <w:ind w:left="720"/>
      <w:contextualSpacing/>
    </w:pPr>
    <w:rPr>
      <w:rFonts w:eastAsia="Times New Roman"/>
      <w:lang w:eastAsia="zh-TW"/>
    </w:rPr>
  </w:style>
  <w:style w:type="paragraph" w:styleId="Testofumetto">
    <w:name w:val="Balloon Text"/>
    <w:basedOn w:val="Normale"/>
    <w:link w:val="TestofumettoCarattere"/>
    <w:uiPriority w:val="99"/>
    <w:semiHidden/>
    <w:rsid w:val="00A70C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70C4E"/>
    <w:rPr>
      <w:rFonts w:ascii="Tahoma" w:hAnsi="Tahoma" w:cs="Tahoma"/>
      <w:sz w:val="16"/>
      <w:szCs w:val="16"/>
    </w:rPr>
  </w:style>
  <w:style w:type="paragraph" w:styleId="Testonotaapidipagina">
    <w:name w:val="footnote text"/>
    <w:basedOn w:val="Normale"/>
    <w:link w:val="TestonotaapidipaginaCarattere"/>
    <w:uiPriority w:val="99"/>
    <w:semiHidden/>
    <w:rsid w:val="00C5389B"/>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5389B"/>
    <w:rPr>
      <w:rFonts w:cs="Times New Roman"/>
      <w:sz w:val="20"/>
      <w:szCs w:val="20"/>
      <w:lang w:eastAsia="en-US"/>
    </w:rPr>
  </w:style>
  <w:style w:type="character" w:styleId="Rimandonotaapidipagina">
    <w:name w:val="footnote reference"/>
    <w:basedOn w:val="Carpredefinitoparagrafo"/>
    <w:uiPriority w:val="99"/>
    <w:semiHidden/>
    <w:rsid w:val="00C5389B"/>
    <w:rPr>
      <w:rFonts w:cs="Times New Roman"/>
      <w:vertAlign w:val="superscript"/>
    </w:rPr>
  </w:style>
  <w:style w:type="paragraph" w:styleId="NormaleWeb">
    <w:name w:val="Normal (Web)"/>
    <w:basedOn w:val="Normale"/>
    <w:uiPriority w:val="99"/>
    <w:rsid w:val="003C26F8"/>
    <w:pPr>
      <w:spacing w:before="100" w:beforeAutospacing="1" w:after="100" w:afterAutospacing="1" w:line="240" w:lineRule="auto"/>
    </w:pPr>
    <w:rPr>
      <w:rFonts w:ascii="Times New Roman" w:hAnsi="Times New Roman"/>
      <w:sz w:val="24"/>
      <w:szCs w:val="24"/>
      <w:lang w:eastAsia="it-IT"/>
    </w:rPr>
  </w:style>
  <w:style w:type="character" w:styleId="Rimandocommento">
    <w:name w:val="annotation reference"/>
    <w:basedOn w:val="Carpredefinitoparagrafo"/>
    <w:uiPriority w:val="99"/>
    <w:semiHidden/>
    <w:rsid w:val="00052B27"/>
    <w:rPr>
      <w:rFonts w:cs="Times New Roman"/>
      <w:sz w:val="16"/>
      <w:szCs w:val="16"/>
    </w:rPr>
  </w:style>
  <w:style w:type="paragraph" w:styleId="Testocommento">
    <w:name w:val="annotation text"/>
    <w:basedOn w:val="Normale"/>
    <w:link w:val="TestocommentoCarattere"/>
    <w:uiPriority w:val="99"/>
    <w:semiHidden/>
    <w:rsid w:val="00052B27"/>
    <w:rPr>
      <w:sz w:val="20"/>
      <w:szCs w:val="20"/>
    </w:rPr>
  </w:style>
  <w:style w:type="character" w:customStyle="1" w:styleId="TestocommentoCarattere">
    <w:name w:val="Testo commento Carattere"/>
    <w:basedOn w:val="Carpredefinitoparagrafo"/>
    <w:link w:val="Testocommento"/>
    <w:uiPriority w:val="99"/>
    <w:semiHidden/>
    <w:locked/>
    <w:rsid w:val="00304D90"/>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052B27"/>
    <w:rPr>
      <w:b/>
      <w:bCs/>
    </w:rPr>
  </w:style>
  <w:style w:type="character" w:customStyle="1" w:styleId="SoggettocommentoCarattere">
    <w:name w:val="Soggetto commento Carattere"/>
    <w:basedOn w:val="TestocommentoCarattere"/>
    <w:link w:val="Soggettocommento"/>
    <w:uiPriority w:val="99"/>
    <w:semiHidden/>
    <w:locked/>
    <w:rsid w:val="00304D90"/>
    <w:rPr>
      <w:b/>
      <w:bCs/>
    </w:rPr>
  </w:style>
  <w:style w:type="paragraph" w:customStyle="1" w:styleId="Normale3">
    <w:name w:val="Normale+3"/>
    <w:basedOn w:val="Default"/>
    <w:next w:val="Default"/>
    <w:uiPriority w:val="99"/>
    <w:rsid w:val="003E0F8D"/>
    <w:rPr>
      <w:rFonts w:eastAsia="Calibri"/>
      <w:color w:val="auto"/>
      <w:lang w:eastAsia="it-IT"/>
    </w:rPr>
  </w:style>
  <w:style w:type="paragraph" w:styleId="Sottotitolo">
    <w:name w:val="Subtitle"/>
    <w:basedOn w:val="Normale"/>
    <w:next w:val="Normale"/>
    <w:link w:val="SottotitoloCarattere"/>
    <w:uiPriority w:val="99"/>
    <w:qFormat/>
    <w:locked/>
    <w:rsid w:val="00641F63"/>
    <w:pPr>
      <w:spacing w:after="60" w:line="240" w:lineRule="auto"/>
      <w:jc w:val="center"/>
      <w:outlineLvl w:val="1"/>
    </w:pPr>
    <w:rPr>
      <w:rFonts w:ascii="Cambria" w:eastAsia="Times New Roman" w:hAnsi="Cambria"/>
      <w:sz w:val="24"/>
      <w:szCs w:val="24"/>
      <w:lang w:eastAsia="it-IT"/>
    </w:rPr>
  </w:style>
  <w:style w:type="character" w:customStyle="1" w:styleId="SottotitoloCarattere">
    <w:name w:val="Sottotitolo Carattere"/>
    <w:basedOn w:val="Carpredefinitoparagrafo"/>
    <w:link w:val="Sottotitolo"/>
    <w:uiPriority w:val="99"/>
    <w:locked/>
    <w:rsid w:val="00641F63"/>
    <w:rPr>
      <w:rFonts w:ascii="Cambria" w:hAnsi="Cambria" w:cs="Times New Roman"/>
      <w:sz w:val="24"/>
      <w:szCs w:val="24"/>
    </w:rPr>
  </w:style>
  <w:style w:type="paragraph" w:customStyle="1" w:styleId="Numberedparagraph">
    <w:name w:val="Numbered paragraph"/>
    <w:basedOn w:val="Normale"/>
    <w:uiPriority w:val="99"/>
    <w:rsid w:val="00061DB2"/>
    <w:pPr>
      <w:tabs>
        <w:tab w:val="right" w:pos="360"/>
        <w:tab w:val="left" w:pos="720"/>
      </w:tabs>
      <w:spacing w:before="120" w:after="0" w:line="240" w:lineRule="exact"/>
      <w:ind w:left="720" w:hanging="720"/>
      <w:jc w:val="both"/>
    </w:pPr>
    <w:rPr>
      <w:rFonts w:ascii="Times New Roman" w:eastAsia="SimSu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806439103">
      <w:marLeft w:val="0"/>
      <w:marRight w:val="0"/>
      <w:marTop w:val="0"/>
      <w:marBottom w:val="0"/>
      <w:divBdr>
        <w:top w:val="none" w:sz="0" w:space="0" w:color="auto"/>
        <w:left w:val="none" w:sz="0" w:space="0" w:color="auto"/>
        <w:bottom w:val="none" w:sz="0" w:space="0" w:color="auto"/>
        <w:right w:val="none" w:sz="0" w:space="0" w:color="auto"/>
      </w:divBdr>
    </w:div>
    <w:div w:id="806439104">
      <w:marLeft w:val="0"/>
      <w:marRight w:val="0"/>
      <w:marTop w:val="0"/>
      <w:marBottom w:val="0"/>
      <w:divBdr>
        <w:top w:val="none" w:sz="0" w:space="0" w:color="auto"/>
        <w:left w:val="none" w:sz="0" w:space="0" w:color="auto"/>
        <w:bottom w:val="none" w:sz="0" w:space="0" w:color="auto"/>
        <w:right w:val="none" w:sz="0" w:space="0" w:color="auto"/>
      </w:divBdr>
    </w:div>
    <w:div w:id="8345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73BB0-D646-4469-B8CA-192DB7AE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3529</Words>
  <Characters>21663</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LA CONTABILITA’ ECONOMICO-PATRIMONIALE</vt:lpstr>
    </vt:vector>
  </TitlesOfParts>
  <Company>Ministero Economia e Finanze</Company>
  <LinksUpToDate>false</LinksUpToDate>
  <CharactersWithSpaces>25142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CONTABILITA’ ECONOMICO-PATRIMONIALE</dc:title>
  <dc:subject/>
  <dc:creator>cinzia.simeone</dc:creator>
  <cp:keywords/>
  <dc:description/>
  <cp:lastModifiedBy>cinzia.simeone</cp:lastModifiedBy>
  <cp:revision>5</cp:revision>
  <cp:lastPrinted>2011-10-27T08:17:00Z</cp:lastPrinted>
  <dcterms:created xsi:type="dcterms:W3CDTF">2011-10-27T08:14:00Z</dcterms:created>
  <dcterms:modified xsi:type="dcterms:W3CDTF">2011-10-27T16:42:00Z</dcterms:modified>
</cp:coreProperties>
</file>